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53B58" w14:textId="77EB28D7" w:rsidR="00904E56" w:rsidRPr="001C5E8F" w:rsidRDefault="00904E56" w:rsidP="000173D1">
      <w:pPr>
        <w:tabs>
          <w:tab w:val="center" w:pos="4536"/>
          <w:tab w:val="right" w:pos="9072"/>
        </w:tabs>
        <w:spacing w:after="0" w:line="264" w:lineRule="auto"/>
        <w:jc w:val="right"/>
        <w:rPr>
          <w:rFonts w:ascii="Verdana" w:eastAsia="Calibri" w:hAnsi="Verdana" w:cs="Arial"/>
          <w:sz w:val="18"/>
          <w:szCs w:val="18"/>
          <w:lang w:eastAsia="pl-PL"/>
        </w:rPr>
      </w:pPr>
      <w:bookmarkStart w:id="0" w:name="_Hlk66112395"/>
      <w:bookmarkStart w:id="1" w:name="_Hlk195601439"/>
      <w:r w:rsidRPr="001C5E8F">
        <w:rPr>
          <w:rFonts w:ascii="Verdana" w:hAnsi="Verdana" w:cs="Arial"/>
          <w:sz w:val="18"/>
          <w:szCs w:val="18"/>
        </w:rPr>
        <w:t xml:space="preserve">Warszawa, </w:t>
      </w:r>
      <w:r w:rsidR="001B4851">
        <w:rPr>
          <w:rFonts w:ascii="Verdana" w:hAnsi="Verdana" w:cs="Arial"/>
          <w:sz w:val="18"/>
          <w:szCs w:val="18"/>
        </w:rPr>
        <w:t>20</w:t>
      </w:r>
      <w:r w:rsidR="00650D9C">
        <w:rPr>
          <w:rFonts w:ascii="Verdana" w:hAnsi="Verdana" w:cs="Arial"/>
          <w:sz w:val="18"/>
          <w:szCs w:val="18"/>
        </w:rPr>
        <w:t xml:space="preserve"> sierpnia</w:t>
      </w:r>
      <w:r w:rsidR="003B0BAD">
        <w:rPr>
          <w:rFonts w:ascii="Verdana" w:hAnsi="Verdana" w:cs="Arial"/>
          <w:sz w:val="18"/>
          <w:szCs w:val="18"/>
        </w:rPr>
        <w:t xml:space="preserve"> </w:t>
      </w:r>
      <w:r w:rsidR="00F01465" w:rsidRPr="001C5E8F">
        <w:rPr>
          <w:rFonts w:ascii="Verdana" w:hAnsi="Verdana" w:cs="Arial"/>
          <w:sz w:val="18"/>
          <w:szCs w:val="18"/>
        </w:rPr>
        <w:t>20</w:t>
      </w:r>
      <w:r w:rsidR="003D191E" w:rsidRPr="001C5E8F">
        <w:rPr>
          <w:rFonts w:ascii="Verdana" w:hAnsi="Verdana" w:cs="Arial"/>
          <w:sz w:val="18"/>
          <w:szCs w:val="18"/>
        </w:rPr>
        <w:t>2</w:t>
      </w:r>
      <w:r w:rsidR="00304582">
        <w:rPr>
          <w:rFonts w:ascii="Verdana" w:hAnsi="Verdana" w:cs="Arial"/>
          <w:sz w:val="18"/>
          <w:szCs w:val="18"/>
        </w:rPr>
        <w:t>5</w:t>
      </w:r>
      <w:r w:rsidRPr="001C5E8F">
        <w:rPr>
          <w:rFonts w:ascii="Verdana" w:hAnsi="Verdana" w:cs="Arial"/>
          <w:sz w:val="18"/>
          <w:szCs w:val="18"/>
        </w:rPr>
        <w:t xml:space="preserve"> r.</w:t>
      </w:r>
    </w:p>
    <w:bookmarkEnd w:id="0"/>
    <w:p w14:paraId="22332385" w14:textId="77777777" w:rsidR="00AC4497" w:rsidRDefault="00AC4497" w:rsidP="000276DB">
      <w:pPr>
        <w:spacing w:after="0" w:line="22" w:lineRule="atLeast"/>
        <w:jc w:val="both"/>
        <w:rPr>
          <w:rFonts w:ascii="Verdana" w:hAnsi="Verdana" w:cs="Arial"/>
          <w:b/>
          <w:color w:val="5B9BD5" w:themeColor="accent1"/>
          <w:sz w:val="26"/>
          <w:szCs w:val="26"/>
        </w:rPr>
      </w:pPr>
    </w:p>
    <w:p w14:paraId="5F27AFC2" w14:textId="77777777" w:rsidR="0071498A" w:rsidRDefault="0071498A" w:rsidP="000276DB">
      <w:pPr>
        <w:spacing w:after="0" w:line="22" w:lineRule="atLeast"/>
        <w:jc w:val="both"/>
        <w:rPr>
          <w:rFonts w:ascii="Verdana" w:hAnsi="Verdana" w:cs="Arial"/>
          <w:b/>
          <w:color w:val="5B9BD5" w:themeColor="accent1"/>
          <w:sz w:val="26"/>
          <w:szCs w:val="26"/>
        </w:rPr>
      </w:pPr>
    </w:p>
    <w:p w14:paraId="6BD6B70C" w14:textId="77777777" w:rsidR="000276DB" w:rsidRDefault="000276DB" w:rsidP="000276DB">
      <w:pPr>
        <w:spacing w:after="0" w:line="22" w:lineRule="atLeast"/>
        <w:jc w:val="both"/>
        <w:rPr>
          <w:rFonts w:ascii="Verdana" w:hAnsi="Verdana" w:cs="Arial"/>
          <w:b/>
          <w:color w:val="5B9BD5" w:themeColor="accent1"/>
          <w:sz w:val="26"/>
          <w:szCs w:val="26"/>
        </w:rPr>
      </w:pPr>
    </w:p>
    <w:bookmarkEnd w:id="1"/>
    <w:p w14:paraId="6581D82B" w14:textId="77777777" w:rsidR="00EA420C" w:rsidRDefault="00BA7A7B" w:rsidP="00BA7A7B">
      <w:pPr>
        <w:spacing w:after="0" w:line="22" w:lineRule="atLeast"/>
        <w:rPr>
          <w:rFonts w:ascii="Verdana" w:hAnsi="Verdana" w:cs="Arial"/>
          <w:b/>
          <w:color w:val="5B9BD5" w:themeColor="accent1"/>
          <w:sz w:val="26"/>
          <w:szCs w:val="26"/>
        </w:rPr>
      </w:pPr>
      <w:r w:rsidRPr="00BA7A7B">
        <w:rPr>
          <w:rFonts w:ascii="Verdana" w:hAnsi="Verdana" w:cs="Arial"/>
          <w:b/>
          <w:color w:val="5B9BD5" w:themeColor="accent1"/>
          <w:sz w:val="26"/>
          <w:szCs w:val="26"/>
        </w:rPr>
        <w:t>GPW osiąga rekordowe przychody w drugim</w:t>
      </w:r>
      <w:r w:rsidR="00EA420C">
        <w:rPr>
          <w:rFonts w:ascii="Verdana" w:hAnsi="Verdana" w:cs="Arial"/>
          <w:b/>
          <w:color w:val="5B9BD5" w:themeColor="accent1"/>
          <w:sz w:val="26"/>
          <w:szCs w:val="26"/>
        </w:rPr>
        <w:t xml:space="preserve"> </w:t>
      </w:r>
    </w:p>
    <w:p w14:paraId="5EEBA5F4" w14:textId="0513D93E" w:rsidR="000276DB" w:rsidRDefault="00BA7A7B" w:rsidP="00BA7A7B">
      <w:pPr>
        <w:spacing w:after="0" w:line="22" w:lineRule="atLeast"/>
        <w:rPr>
          <w:rFonts w:ascii="Verdana" w:hAnsi="Verdana" w:cs="Arial"/>
          <w:b/>
          <w:color w:val="5B9BD5" w:themeColor="accent1"/>
          <w:sz w:val="26"/>
          <w:szCs w:val="26"/>
        </w:rPr>
      </w:pPr>
      <w:r w:rsidRPr="00BA7A7B">
        <w:rPr>
          <w:rFonts w:ascii="Verdana" w:hAnsi="Verdana" w:cs="Arial"/>
          <w:b/>
          <w:color w:val="5B9BD5" w:themeColor="accent1"/>
          <w:sz w:val="26"/>
          <w:szCs w:val="26"/>
        </w:rPr>
        <w:t>kwartale 2025 roku</w:t>
      </w:r>
    </w:p>
    <w:p w14:paraId="2A57E35B" w14:textId="77777777" w:rsidR="000276DB" w:rsidRDefault="000276DB" w:rsidP="000276DB">
      <w:pPr>
        <w:spacing w:after="0" w:line="22" w:lineRule="atLeast"/>
        <w:jc w:val="both"/>
        <w:rPr>
          <w:rFonts w:ascii="Verdana" w:hAnsi="Verdana" w:cs="Arial"/>
          <w:bCs/>
          <w:color w:val="5B9BD5" w:themeColor="accent1"/>
          <w:lang w:eastAsia="pl-PL"/>
        </w:rPr>
      </w:pPr>
    </w:p>
    <w:p w14:paraId="2B8726B8" w14:textId="5604D1F5" w:rsidR="00BA7A7B" w:rsidRDefault="00BA7A7B" w:rsidP="000276DB">
      <w:pPr>
        <w:spacing w:after="0" w:line="22" w:lineRule="atLeast"/>
        <w:jc w:val="both"/>
        <w:rPr>
          <w:rFonts w:ascii="Verdana" w:hAnsi="Verdana" w:cs="Arial"/>
          <w:bCs/>
          <w:color w:val="5B9BD5" w:themeColor="accent1"/>
          <w:lang w:eastAsia="pl-PL"/>
        </w:rPr>
      </w:pPr>
      <w:r w:rsidRPr="00BA7A7B">
        <w:rPr>
          <w:rFonts w:ascii="Verdana" w:hAnsi="Verdana" w:cs="Arial"/>
          <w:bCs/>
          <w:color w:val="5B9BD5" w:themeColor="accent1"/>
          <w:lang w:eastAsia="pl-PL"/>
        </w:rPr>
        <w:t>Rekordowe przychody, historyczne notowania WIG oraz najwyższa od lat aktywność inwestorów sprawiły, że drugi kwartał 2025 roku był dla Grupy Kapitałowej GPW jednym z najlepszych w historii. Przychody Grupy wyniosły 144,1 mln zł, co oznacza wzrost o 19,2% r</w:t>
      </w:r>
      <w:r>
        <w:rPr>
          <w:rFonts w:ascii="Verdana" w:hAnsi="Verdana" w:cs="Arial"/>
          <w:bCs/>
          <w:color w:val="5B9BD5" w:themeColor="accent1"/>
          <w:lang w:eastAsia="pl-PL"/>
        </w:rPr>
        <w:t>ok do roku</w:t>
      </w:r>
      <w:r w:rsidRPr="00BA7A7B">
        <w:rPr>
          <w:rFonts w:ascii="Verdana" w:hAnsi="Verdana" w:cs="Arial"/>
          <w:bCs/>
          <w:color w:val="5B9BD5" w:themeColor="accent1"/>
          <w:lang w:eastAsia="pl-PL"/>
        </w:rPr>
        <w:t xml:space="preserve">. EBITDA wzrosła o 43,0% </w:t>
      </w:r>
      <w:proofErr w:type="spellStart"/>
      <w:r w:rsidRPr="00BA7A7B">
        <w:rPr>
          <w:rFonts w:ascii="Verdana" w:hAnsi="Verdana" w:cs="Arial"/>
          <w:bCs/>
          <w:color w:val="5B9BD5" w:themeColor="accent1"/>
          <w:lang w:eastAsia="pl-PL"/>
        </w:rPr>
        <w:t>rdr</w:t>
      </w:r>
      <w:proofErr w:type="spellEnd"/>
      <w:r w:rsidR="00BD1D68">
        <w:rPr>
          <w:rStyle w:val="Odwoanieprzypisudolnego"/>
          <w:rFonts w:ascii="Verdana" w:hAnsi="Verdana" w:cs="Arial"/>
          <w:bCs/>
          <w:color w:val="5B9BD5" w:themeColor="accent1"/>
          <w:lang w:eastAsia="pl-PL"/>
        </w:rPr>
        <w:footnoteReference w:id="1"/>
      </w:r>
      <w:r w:rsidRPr="00BA7A7B">
        <w:rPr>
          <w:rFonts w:ascii="Verdana" w:hAnsi="Verdana" w:cs="Arial"/>
          <w:bCs/>
          <w:color w:val="5B9BD5" w:themeColor="accent1"/>
          <w:lang w:eastAsia="pl-PL"/>
        </w:rPr>
        <w:t xml:space="preserve"> do 62,4 mln zł, a zysk netto o 42,9% rdr</w:t>
      </w:r>
      <w:r w:rsidR="00BD1D68">
        <w:rPr>
          <w:rStyle w:val="Odwoanieprzypisudolnego"/>
          <w:rFonts w:ascii="Verdana" w:hAnsi="Verdana" w:cs="Arial"/>
          <w:bCs/>
          <w:color w:val="5B9BD5" w:themeColor="accent1"/>
          <w:lang w:eastAsia="pl-PL"/>
        </w:rPr>
        <w:footnoteReference w:customMarkFollows="1" w:id="2"/>
        <w:t>1</w:t>
      </w:r>
      <w:r w:rsidRPr="00BA7A7B">
        <w:rPr>
          <w:rFonts w:ascii="Verdana" w:hAnsi="Verdana" w:cs="Arial"/>
          <w:bCs/>
          <w:color w:val="5B9BD5" w:themeColor="accent1"/>
          <w:lang w:eastAsia="pl-PL"/>
        </w:rPr>
        <w:t xml:space="preserve">, osiągając 57,7 mln zł. </w:t>
      </w:r>
    </w:p>
    <w:p w14:paraId="46FABDE5" w14:textId="77777777" w:rsidR="00BA7A7B" w:rsidRDefault="00BA7A7B" w:rsidP="000276DB">
      <w:pPr>
        <w:spacing w:after="0" w:line="22" w:lineRule="atLeast"/>
        <w:jc w:val="both"/>
        <w:rPr>
          <w:rFonts w:ascii="Verdana" w:hAnsi="Verdana" w:cs="Arial"/>
          <w:bCs/>
          <w:color w:val="5B9BD5" w:themeColor="accent1"/>
          <w:lang w:eastAsia="pl-PL"/>
        </w:rPr>
      </w:pPr>
    </w:p>
    <w:p w14:paraId="7B927810" w14:textId="779EC625" w:rsidR="00025A49" w:rsidRPr="00EE79C4" w:rsidRDefault="00025A49" w:rsidP="000276DB">
      <w:pPr>
        <w:pStyle w:val="Akapitzlist"/>
        <w:numPr>
          <w:ilvl w:val="0"/>
          <w:numId w:val="20"/>
        </w:numPr>
        <w:spacing w:line="22" w:lineRule="atLeast"/>
        <w:jc w:val="both"/>
        <w:rPr>
          <w:rFonts w:ascii="Verdana" w:hAnsi="Verdana"/>
          <w:b/>
          <w:bCs/>
          <w:sz w:val="16"/>
          <w:szCs w:val="16"/>
        </w:rPr>
      </w:pPr>
      <w:r w:rsidRPr="00EE79C4">
        <w:rPr>
          <w:rFonts w:ascii="Verdana" w:hAnsi="Verdana"/>
          <w:b/>
          <w:bCs/>
          <w:sz w:val="16"/>
          <w:szCs w:val="16"/>
        </w:rPr>
        <w:t xml:space="preserve">144,1 mln zł – rekordowe przychody ze sprzedaży GK GPW </w:t>
      </w:r>
      <w:r w:rsidR="00991353" w:rsidRPr="00EE79C4">
        <w:rPr>
          <w:rFonts w:ascii="Verdana" w:hAnsi="Verdana"/>
          <w:b/>
          <w:bCs/>
          <w:sz w:val="16"/>
          <w:szCs w:val="16"/>
        </w:rPr>
        <w:t>w</w:t>
      </w:r>
      <w:r w:rsidRPr="00EE79C4">
        <w:rPr>
          <w:rFonts w:ascii="Verdana" w:hAnsi="Verdana"/>
          <w:b/>
          <w:bCs/>
          <w:sz w:val="16"/>
          <w:szCs w:val="16"/>
        </w:rPr>
        <w:t xml:space="preserve"> II kwartale 2025 roku (19,2% </w:t>
      </w:r>
      <w:proofErr w:type="spellStart"/>
      <w:r w:rsidRPr="00EE79C4">
        <w:rPr>
          <w:rFonts w:ascii="Verdana" w:hAnsi="Verdana"/>
          <w:b/>
          <w:bCs/>
          <w:sz w:val="16"/>
          <w:szCs w:val="16"/>
        </w:rPr>
        <w:t>rdr</w:t>
      </w:r>
      <w:proofErr w:type="spellEnd"/>
      <w:r w:rsidRPr="00EE79C4">
        <w:rPr>
          <w:rFonts w:ascii="Verdana" w:hAnsi="Verdana"/>
          <w:b/>
          <w:bCs/>
          <w:sz w:val="16"/>
          <w:szCs w:val="16"/>
        </w:rPr>
        <w:t>)</w:t>
      </w:r>
    </w:p>
    <w:p w14:paraId="3D150642" w14:textId="21247860" w:rsidR="00025A49" w:rsidRPr="00EE79C4" w:rsidRDefault="00025A49" w:rsidP="000276DB">
      <w:pPr>
        <w:pStyle w:val="Akapitzlist"/>
        <w:numPr>
          <w:ilvl w:val="0"/>
          <w:numId w:val="20"/>
        </w:numPr>
        <w:spacing w:line="22" w:lineRule="atLeast"/>
        <w:jc w:val="both"/>
        <w:rPr>
          <w:rFonts w:ascii="Verdana" w:hAnsi="Verdana"/>
          <w:b/>
          <w:bCs/>
          <w:sz w:val="16"/>
          <w:szCs w:val="16"/>
        </w:rPr>
      </w:pPr>
      <w:r w:rsidRPr="001F0893">
        <w:rPr>
          <w:rFonts w:ascii="Verdana" w:hAnsi="Verdana"/>
          <w:b/>
          <w:bCs/>
          <w:sz w:val="16"/>
          <w:szCs w:val="16"/>
        </w:rPr>
        <w:t>1</w:t>
      </w:r>
      <w:r w:rsidR="00BF677A" w:rsidRPr="001F0893">
        <w:rPr>
          <w:rFonts w:ascii="Verdana" w:hAnsi="Verdana"/>
          <w:b/>
          <w:bCs/>
          <w:sz w:val="16"/>
          <w:szCs w:val="16"/>
        </w:rPr>
        <w:t>31</w:t>
      </w:r>
      <w:r w:rsidRPr="001F0893">
        <w:rPr>
          <w:rFonts w:ascii="Verdana" w:hAnsi="Verdana"/>
          <w:b/>
          <w:bCs/>
          <w:sz w:val="16"/>
          <w:szCs w:val="16"/>
        </w:rPr>
        <w:t>,</w:t>
      </w:r>
      <w:r w:rsidR="00BF677A" w:rsidRPr="001F0893">
        <w:rPr>
          <w:rFonts w:ascii="Verdana" w:hAnsi="Verdana"/>
          <w:b/>
          <w:bCs/>
          <w:sz w:val="16"/>
          <w:szCs w:val="16"/>
        </w:rPr>
        <w:t>5</w:t>
      </w:r>
      <w:r w:rsidRPr="001F0893">
        <w:rPr>
          <w:rFonts w:ascii="Verdana" w:hAnsi="Verdana"/>
          <w:b/>
          <w:bCs/>
          <w:sz w:val="16"/>
          <w:szCs w:val="16"/>
        </w:rPr>
        <w:t xml:space="preserve"> mld zł –</w:t>
      </w:r>
      <w:r w:rsidRPr="00EE79C4">
        <w:rPr>
          <w:rFonts w:ascii="Verdana" w:hAnsi="Verdana"/>
          <w:b/>
          <w:bCs/>
          <w:sz w:val="16"/>
          <w:szCs w:val="16"/>
        </w:rPr>
        <w:t xml:space="preserve"> rekordowa wartość obrotów sesyjnych na Głównym Rynku w I</w:t>
      </w:r>
      <w:r w:rsidR="00991353" w:rsidRPr="00EE79C4">
        <w:rPr>
          <w:rFonts w:ascii="Verdana" w:hAnsi="Verdana"/>
          <w:b/>
          <w:bCs/>
          <w:sz w:val="16"/>
          <w:szCs w:val="16"/>
        </w:rPr>
        <w:t>I</w:t>
      </w:r>
      <w:r w:rsidRPr="00EE79C4">
        <w:rPr>
          <w:rFonts w:ascii="Verdana" w:hAnsi="Verdana"/>
          <w:b/>
          <w:bCs/>
          <w:sz w:val="16"/>
          <w:szCs w:val="16"/>
        </w:rPr>
        <w:t xml:space="preserve"> kwartale 2025 roku (</w:t>
      </w:r>
      <w:r w:rsidR="00BF677A" w:rsidRPr="00EE79C4">
        <w:rPr>
          <w:rFonts w:ascii="Verdana" w:hAnsi="Verdana"/>
          <w:b/>
          <w:bCs/>
          <w:sz w:val="16"/>
          <w:szCs w:val="16"/>
        </w:rPr>
        <w:t>48</w:t>
      </w:r>
      <w:r w:rsidRPr="00EE79C4">
        <w:rPr>
          <w:rFonts w:ascii="Verdana" w:hAnsi="Verdana"/>
          <w:b/>
          <w:bCs/>
          <w:sz w:val="16"/>
          <w:szCs w:val="16"/>
        </w:rPr>
        <w:t>,</w:t>
      </w:r>
      <w:r w:rsidR="00BF677A" w:rsidRPr="00EE79C4">
        <w:rPr>
          <w:rFonts w:ascii="Verdana" w:hAnsi="Verdana"/>
          <w:b/>
          <w:bCs/>
          <w:sz w:val="16"/>
          <w:szCs w:val="16"/>
        </w:rPr>
        <w:t>7</w:t>
      </w:r>
      <w:r w:rsidRPr="00EE79C4">
        <w:rPr>
          <w:rFonts w:ascii="Verdana" w:hAnsi="Verdana"/>
          <w:b/>
          <w:bCs/>
          <w:sz w:val="16"/>
          <w:szCs w:val="16"/>
        </w:rPr>
        <w:t xml:space="preserve">% </w:t>
      </w:r>
      <w:proofErr w:type="spellStart"/>
      <w:r w:rsidRPr="00EE79C4">
        <w:rPr>
          <w:rFonts w:ascii="Verdana" w:hAnsi="Verdana"/>
          <w:b/>
          <w:bCs/>
          <w:sz w:val="16"/>
          <w:szCs w:val="16"/>
        </w:rPr>
        <w:t>rdr</w:t>
      </w:r>
      <w:proofErr w:type="spellEnd"/>
      <w:r w:rsidRPr="00EE79C4">
        <w:rPr>
          <w:rFonts w:ascii="Verdana" w:hAnsi="Verdana"/>
          <w:b/>
          <w:bCs/>
          <w:sz w:val="16"/>
          <w:szCs w:val="16"/>
        </w:rPr>
        <w:t>)</w:t>
      </w:r>
    </w:p>
    <w:p w14:paraId="6A9DE2F9" w14:textId="4D2E5114" w:rsidR="00025A49" w:rsidRPr="00EE79C4" w:rsidRDefault="00BF677A" w:rsidP="000276DB">
      <w:pPr>
        <w:pStyle w:val="Akapitzlist"/>
        <w:numPr>
          <w:ilvl w:val="0"/>
          <w:numId w:val="20"/>
        </w:numPr>
        <w:spacing w:line="22" w:lineRule="atLeast"/>
        <w:jc w:val="both"/>
        <w:rPr>
          <w:rFonts w:ascii="Verdana" w:hAnsi="Verdana"/>
          <w:b/>
          <w:bCs/>
          <w:sz w:val="16"/>
          <w:szCs w:val="16"/>
        </w:rPr>
      </w:pPr>
      <w:r w:rsidRPr="00EE79C4">
        <w:rPr>
          <w:rFonts w:ascii="Verdana" w:hAnsi="Verdana"/>
          <w:b/>
          <w:bCs/>
          <w:sz w:val="16"/>
          <w:szCs w:val="16"/>
        </w:rPr>
        <w:t>62</w:t>
      </w:r>
      <w:r w:rsidR="00025A49" w:rsidRPr="00EE79C4">
        <w:rPr>
          <w:rFonts w:ascii="Verdana" w:hAnsi="Verdana"/>
          <w:b/>
          <w:bCs/>
          <w:sz w:val="16"/>
          <w:szCs w:val="16"/>
        </w:rPr>
        <w:t>,</w:t>
      </w:r>
      <w:r w:rsidRPr="00EE79C4">
        <w:rPr>
          <w:rFonts w:ascii="Verdana" w:hAnsi="Verdana"/>
          <w:b/>
          <w:bCs/>
          <w:sz w:val="16"/>
          <w:szCs w:val="16"/>
        </w:rPr>
        <w:t>4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mln zł – wynik EBITDA GK GPW </w:t>
      </w:r>
      <w:r w:rsidR="00991353" w:rsidRPr="00EE79C4">
        <w:rPr>
          <w:rFonts w:ascii="Verdana" w:hAnsi="Verdana"/>
          <w:b/>
          <w:bCs/>
          <w:sz w:val="16"/>
          <w:szCs w:val="16"/>
        </w:rPr>
        <w:t>w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</w:t>
      </w:r>
      <w:r w:rsidRPr="00EE79C4">
        <w:rPr>
          <w:rFonts w:ascii="Verdana" w:hAnsi="Verdana"/>
          <w:b/>
          <w:bCs/>
          <w:sz w:val="16"/>
          <w:szCs w:val="16"/>
        </w:rPr>
        <w:t>II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kwartale 2025 roku (</w:t>
      </w:r>
      <w:r w:rsidRPr="00EE79C4">
        <w:rPr>
          <w:rFonts w:ascii="Verdana" w:hAnsi="Verdana"/>
          <w:b/>
          <w:bCs/>
          <w:sz w:val="16"/>
          <w:szCs w:val="16"/>
        </w:rPr>
        <w:t>43</w:t>
      </w:r>
      <w:r w:rsidR="00025A49" w:rsidRPr="00EE79C4">
        <w:rPr>
          <w:rFonts w:ascii="Verdana" w:hAnsi="Verdana"/>
          <w:b/>
          <w:bCs/>
          <w:sz w:val="16"/>
          <w:szCs w:val="16"/>
        </w:rPr>
        <w:t>,</w:t>
      </w:r>
      <w:r w:rsidRPr="00EE79C4">
        <w:rPr>
          <w:rFonts w:ascii="Verdana" w:hAnsi="Verdana"/>
          <w:b/>
          <w:bCs/>
          <w:sz w:val="16"/>
          <w:szCs w:val="16"/>
        </w:rPr>
        <w:t>0</w:t>
      </w:r>
      <w:r w:rsidR="00025A49" w:rsidRPr="00EE79C4">
        <w:rPr>
          <w:rFonts w:ascii="Verdana" w:hAnsi="Verdana"/>
          <w:b/>
          <w:bCs/>
          <w:sz w:val="16"/>
          <w:szCs w:val="16"/>
        </w:rPr>
        <w:t>% rdr</w:t>
      </w:r>
      <w:r w:rsidR="00BD1D68" w:rsidRPr="00E21BDD">
        <w:rPr>
          <w:rFonts w:ascii="Verdana" w:hAnsi="Verdana"/>
          <w:b/>
          <w:bCs/>
          <w:sz w:val="16"/>
          <w:szCs w:val="16"/>
          <w:vertAlign w:val="superscript"/>
        </w:rPr>
        <w:t>1</w:t>
      </w:r>
      <w:r w:rsidR="00025A49" w:rsidRPr="00EE79C4">
        <w:rPr>
          <w:rFonts w:ascii="Verdana" w:hAnsi="Verdana"/>
          <w:b/>
          <w:bCs/>
          <w:sz w:val="16"/>
          <w:szCs w:val="16"/>
        </w:rPr>
        <w:t>)</w:t>
      </w:r>
    </w:p>
    <w:p w14:paraId="461951DC" w14:textId="4F10D68E" w:rsidR="00025A49" w:rsidRPr="00EE79C4" w:rsidRDefault="00BF677A" w:rsidP="000276DB">
      <w:pPr>
        <w:pStyle w:val="Akapitzlist"/>
        <w:numPr>
          <w:ilvl w:val="0"/>
          <w:numId w:val="20"/>
        </w:numPr>
        <w:spacing w:line="22" w:lineRule="atLeast"/>
        <w:jc w:val="both"/>
        <w:rPr>
          <w:rFonts w:ascii="Verdana" w:hAnsi="Verdana"/>
          <w:b/>
          <w:bCs/>
          <w:sz w:val="16"/>
          <w:szCs w:val="16"/>
        </w:rPr>
      </w:pPr>
      <w:r w:rsidRPr="00EE79C4">
        <w:rPr>
          <w:rFonts w:ascii="Verdana" w:hAnsi="Verdana"/>
          <w:b/>
          <w:bCs/>
          <w:sz w:val="16"/>
          <w:szCs w:val="16"/>
        </w:rPr>
        <w:t>57,7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mln zł – zysk netto przypadający akcjonariuszom jednostki dominującej </w:t>
      </w:r>
      <w:r w:rsidR="00991353" w:rsidRPr="00EE79C4">
        <w:rPr>
          <w:rFonts w:ascii="Verdana" w:hAnsi="Verdana"/>
          <w:b/>
          <w:bCs/>
          <w:sz w:val="16"/>
          <w:szCs w:val="16"/>
        </w:rPr>
        <w:t xml:space="preserve">w </w:t>
      </w:r>
      <w:r w:rsidR="00025A49" w:rsidRPr="00EE79C4">
        <w:rPr>
          <w:rFonts w:ascii="Verdana" w:hAnsi="Verdana"/>
          <w:b/>
          <w:bCs/>
          <w:sz w:val="16"/>
          <w:szCs w:val="16"/>
        </w:rPr>
        <w:t>I</w:t>
      </w:r>
      <w:r w:rsidRPr="00EE79C4">
        <w:rPr>
          <w:rFonts w:ascii="Verdana" w:hAnsi="Verdana"/>
          <w:b/>
          <w:bCs/>
          <w:sz w:val="16"/>
          <w:szCs w:val="16"/>
        </w:rPr>
        <w:t>I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kwartale 2025 roku (</w:t>
      </w:r>
      <w:r w:rsidR="00991353" w:rsidRPr="00EE79C4">
        <w:rPr>
          <w:rFonts w:ascii="Verdana" w:hAnsi="Verdana"/>
          <w:b/>
          <w:bCs/>
          <w:sz w:val="16"/>
          <w:szCs w:val="16"/>
        </w:rPr>
        <w:t>42,9</w:t>
      </w:r>
      <w:r w:rsidR="00025A49" w:rsidRPr="00EE79C4">
        <w:rPr>
          <w:rFonts w:ascii="Verdana" w:hAnsi="Verdana"/>
          <w:b/>
          <w:bCs/>
          <w:sz w:val="16"/>
          <w:szCs w:val="16"/>
        </w:rPr>
        <w:t>% rdr</w:t>
      </w:r>
      <w:r w:rsidR="00BD1D68" w:rsidRPr="00E21BDD">
        <w:rPr>
          <w:rFonts w:ascii="Verdana" w:hAnsi="Verdana"/>
          <w:b/>
          <w:bCs/>
          <w:sz w:val="16"/>
          <w:szCs w:val="16"/>
          <w:vertAlign w:val="superscript"/>
        </w:rPr>
        <w:t>1</w:t>
      </w:r>
      <w:r w:rsidR="00025A49" w:rsidRPr="00EE79C4">
        <w:rPr>
          <w:rFonts w:ascii="Verdana" w:hAnsi="Verdana"/>
          <w:b/>
          <w:bCs/>
          <w:sz w:val="16"/>
          <w:szCs w:val="16"/>
        </w:rPr>
        <w:t>)</w:t>
      </w:r>
    </w:p>
    <w:p w14:paraId="5B153C05" w14:textId="115BFDC5" w:rsidR="00991353" w:rsidRPr="00EE79C4" w:rsidRDefault="00025A49" w:rsidP="00991353">
      <w:pPr>
        <w:pStyle w:val="Akapitzlist"/>
        <w:numPr>
          <w:ilvl w:val="0"/>
          <w:numId w:val="20"/>
        </w:numPr>
        <w:rPr>
          <w:rFonts w:ascii="Verdana" w:hAnsi="Verdana"/>
          <w:b/>
          <w:bCs/>
          <w:sz w:val="16"/>
          <w:szCs w:val="16"/>
        </w:rPr>
      </w:pPr>
      <w:r w:rsidRPr="00EE79C4">
        <w:rPr>
          <w:rFonts w:ascii="Verdana" w:hAnsi="Verdana"/>
          <w:b/>
          <w:bCs/>
          <w:sz w:val="16"/>
          <w:szCs w:val="16"/>
        </w:rPr>
        <w:t>6</w:t>
      </w:r>
      <w:r w:rsidR="00BF677A" w:rsidRPr="00EE79C4">
        <w:rPr>
          <w:rFonts w:ascii="Verdana" w:hAnsi="Verdana"/>
          <w:b/>
          <w:bCs/>
          <w:sz w:val="16"/>
          <w:szCs w:val="16"/>
        </w:rPr>
        <w:t>2</w:t>
      </w:r>
      <w:r w:rsidRPr="00EE79C4">
        <w:rPr>
          <w:rFonts w:ascii="Verdana" w:hAnsi="Verdana"/>
          <w:b/>
          <w:bCs/>
          <w:sz w:val="16"/>
          <w:szCs w:val="16"/>
        </w:rPr>
        <w:t>,</w:t>
      </w:r>
      <w:r w:rsidR="00BF677A" w:rsidRPr="00EE79C4">
        <w:rPr>
          <w:rFonts w:ascii="Verdana" w:hAnsi="Verdana"/>
          <w:b/>
          <w:bCs/>
          <w:sz w:val="16"/>
          <w:szCs w:val="16"/>
        </w:rPr>
        <w:t>9</w:t>
      </w:r>
      <w:r w:rsidRPr="00EE79C4">
        <w:rPr>
          <w:rFonts w:ascii="Verdana" w:hAnsi="Verdana"/>
          <w:b/>
          <w:bCs/>
          <w:sz w:val="16"/>
          <w:szCs w:val="16"/>
        </w:rPr>
        <w:t xml:space="preserve">% – </w:t>
      </w:r>
      <w:r w:rsidR="00991353" w:rsidRPr="00EE79C4">
        <w:rPr>
          <w:rFonts w:ascii="Verdana" w:hAnsi="Verdana"/>
          <w:b/>
          <w:bCs/>
          <w:sz w:val="16"/>
          <w:szCs w:val="16"/>
        </w:rPr>
        <w:t xml:space="preserve">wskaźnik </w:t>
      </w:r>
      <w:proofErr w:type="spellStart"/>
      <w:r w:rsidR="00991353" w:rsidRPr="00EE79C4">
        <w:rPr>
          <w:rFonts w:ascii="Verdana" w:hAnsi="Verdana"/>
          <w:b/>
          <w:bCs/>
          <w:sz w:val="16"/>
          <w:szCs w:val="16"/>
        </w:rPr>
        <w:t>cost</w:t>
      </w:r>
      <w:proofErr w:type="spellEnd"/>
      <w:r w:rsidR="00BD1D68">
        <w:rPr>
          <w:rFonts w:ascii="Verdana" w:hAnsi="Verdana"/>
          <w:b/>
          <w:bCs/>
          <w:sz w:val="16"/>
          <w:szCs w:val="16"/>
        </w:rPr>
        <w:t>/</w:t>
      </w:r>
      <w:proofErr w:type="spellStart"/>
      <w:r w:rsidR="00991353" w:rsidRPr="00EE79C4">
        <w:rPr>
          <w:rFonts w:ascii="Verdana" w:hAnsi="Verdana"/>
          <w:b/>
          <w:bCs/>
          <w:sz w:val="16"/>
          <w:szCs w:val="16"/>
        </w:rPr>
        <w:t>income</w:t>
      </w:r>
      <w:proofErr w:type="spellEnd"/>
      <w:r w:rsidR="00991353" w:rsidRPr="00EE79C4">
        <w:rPr>
          <w:rFonts w:ascii="Verdana" w:hAnsi="Verdana"/>
          <w:b/>
          <w:bCs/>
          <w:sz w:val="16"/>
          <w:szCs w:val="16"/>
        </w:rPr>
        <w:t xml:space="preserve"> z najniższym poziomem od </w:t>
      </w:r>
      <w:r w:rsidR="00503099" w:rsidRPr="00EE79C4">
        <w:rPr>
          <w:rFonts w:ascii="Verdana" w:hAnsi="Verdana"/>
          <w:b/>
          <w:bCs/>
          <w:sz w:val="16"/>
          <w:szCs w:val="16"/>
        </w:rPr>
        <w:t xml:space="preserve">ponad </w:t>
      </w:r>
      <w:r w:rsidR="00991353" w:rsidRPr="00EE79C4">
        <w:rPr>
          <w:rFonts w:ascii="Verdana" w:hAnsi="Verdana"/>
          <w:b/>
          <w:bCs/>
          <w:sz w:val="16"/>
          <w:szCs w:val="16"/>
        </w:rPr>
        <w:t>trzech lat</w:t>
      </w:r>
    </w:p>
    <w:p w14:paraId="01716EF8" w14:textId="6CD87886" w:rsidR="00025A49" w:rsidRPr="00EE79C4" w:rsidRDefault="00BF677A" w:rsidP="000276DB">
      <w:pPr>
        <w:pStyle w:val="Akapitzlist"/>
        <w:numPr>
          <w:ilvl w:val="0"/>
          <w:numId w:val="20"/>
        </w:numPr>
        <w:spacing w:line="22" w:lineRule="atLeast"/>
        <w:jc w:val="both"/>
        <w:rPr>
          <w:rFonts w:ascii="Verdana" w:hAnsi="Verdana" w:cs="Arial"/>
          <w:b/>
          <w:bCs/>
          <w:sz w:val="16"/>
          <w:szCs w:val="16"/>
        </w:rPr>
      </w:pPr>
      <w:r w:rsidRPr="00EE79C4">
        <w:rPr>
          <w:rFonts w:ascii="Verdana" w:hAnsi="Verdana"/>
          <w:b/>
          <w:bCs/>
          <w:sz w:val="16"/>
          <w:szCs w:val="16"/>
        </w:rPr>
        <w:t>3,15 zł na akcję</w:t>
      </w:r>
      <w:r w:rsidR="00991353" w:rsidRPr="00EE79C4">
        <w:rPr>
          <w:rFonts w:ascii="Verdana" w:hAnsi="Verdana"/>
          <w:b/>
          <w:bCs/>
          <w:sz w:val="16"/>
          <w:szCs w:val="16"/>
        </w:rPr>
        <w:t xml:space="preserve"> 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– </w:t>
      </w:r>
      <w:r w:rsidR="00991353" w:rsidRPr="00EE79C4">
        <w:rPr>
          <w:rFonts w:ascii="Verdana" w:hAnsi="Verdana"/>
          <w:b/>
          <w:bCs/>
          <w:sz w:val="16"/>
          <w:szCs w:val="16"/>
        </w:rPr>
        <w:t xml:space="preserve">wypłacona </w:t>
      </w:r>
      <w:r w:rsidR="00025A49" w:rsidRPr="00EE79C4">
        <w:rPr>
          <w:rFonts w:ascii="Verdana" w:hAnsi="Verdana"/>
          <w:b/>
          <w:bCs/>
          <w:sz w:val="16"/>
          <w:szCs w:val="16"/>
        </w:rPr>
        <w:t>dywidend</w:t>
      </w:r>
      <w:r w:rsidR="00991353" w:rsidRPr="00EE79C4">
        <w:rPr>
          <w:rFonts w:ascii="Verdana" w:hAnsi="Verdana"/>
          <w:b/>
          <w:bCs/>
          <w:sz w:val="16"/>
          <w:szCs w:val="16"/>
        </w:rPr>
        <w:t>a</w:t>
      </w:r>
      <w:r w:rsidR="00025A49" w:rsidRPr="00EE79C4">
        <w:rPr>
          <w:rFonts w:ascii="Verdana" w:hAnsi="Verdana"/>
          <w:b/>
          <w:bCs/>
          <w:sz w:val="16"/>
          <w:szCs w:val="16"/>
        </w:rPr>
        <w:t xml:space="preserve"> za 2024 rok</w:t>
      </w:r>
      <w:r w:rsidRPr="00EE79C4">
        <w:rPr>
          <w:rFonts w:ascii="Verdana" w:eastAsiaTheme="minorEastAsia" w:hAnsi="Verdana" w:cs="Arial"/>
          <w:b/>
          <w:bCs/>
          <w:sz w:val="16"/>
          <w:szCs w:val="16"/>
        </w:rPr>
        <w:t xml:space="preserve"> (</w:t>
      </w:r>
      <w:r w:rsidR="00991353" w:rsidRPr="00EE79C4">
        <w:rPr>
          <w:rFonts w:ascii="Verdana" w:eastAsiaTheme="minorEastAsia" w:hAnsi="Verdana" w:cs="Arial"/>
          <w:b/>
          <w:bCs/>
          <w:sz w:val="16"/>
          <w:szCs w:val="16"/>
        </w:rPr>
        <w:t xml:space="preserve">stopa </w:t>
      </w:r>
      <w:r w:rsidR="001673BD">
        <w:rPr>
          <w:rFonts w:ascii="Verdana" w:eastAsiaTheme="minorEastAsia" w:hAnsi="Verdana" w:cs="Arial"/>
          <w:b/>
          <w:bCs/>
          <w:sz w:val="16"/>
          <w:szCs w:val="16"/>
        </w:rPr>
        <w:t>na dzień odcięcia prawa do dywidendy 5,7</w:t>
      </w:r>
      <w:r w:rsidR="00991353" w:rsidRPr="00EE79C4">
        <w:rPr>
          <w:rFonts w:ascii="Verdana" w:eastAsiaTheme="minorEastAsia" w:hAnsi="Verdana" w:cs="Arial"/>
          <w:b/>
          <w:bCs/>
          <w:sz w:val="16"/>
          <w:szCs w:val="16"/>
        </w:rPr>
        <w:t>%</w:t>
      </w:r>
      <w:r w:rsidRPr="00EE79C4">
        <w:rPr>
          <w:rFonts w:ascii="Verdana" w:eastAsiaTheme="minorEastAsia" w:hAnsi="Verdana" w:cs="Arial"/>
          <w:b/>
          <w:bCs/>
          <w:sz w:val="16"/>
          <w:szCs w:val="16"/>
        </w:rPr>
        <w:t xml:space="preserve">) </w:t>
      </w:r>
    </w:p>
    <w:p w14:paraId="5F867681" w14:textId="03F989F4" w:rsidR="00901F51" w:rsidRPr="00901F51" w:rsidRDefault="00DC0D20" w:rsidP="00901F5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Verdana" w:hAnsi="Verdana" w:cs="Arial"/>
          <w:b/>
          <w:bCs/>
          <w:color w:val="5B9BD5" w:themeColor="accent1"/>
          <w:sz w:val="20"/>
          <w:szCs w:val="20"/>
        </w:rPr>
      </w:pPr>
      <w:r w:rsidRPr="00DC0D20">
        <w:rPr>
          <w:rFonts w:ascii="Verdana" w:hAnsi="Verdana" w:cs="Arial"/>
          <w:b/>
          <w:bCs/>
          <w:color w:val="5B9BD5" w:themeColor="accent1"/>
          <w:sz w:val="20"/>
          <w:szCs w:val="20"/>
        </w:rPr>
        <w:t>Rekordowe przychody i najwyższa rentowność od trzech lat</w:t>
      </w:r>
    </w:p>
    <w:p w14:paraId="214DC5B9" w14:textId="2A6CB23B" w:rsidR="00F2537B" w:rsidRDefault="00DC0D20" w:rsidP="00F2537B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C0D20">
        <w:rPr>
          <w:rFonts w:ascii="Verdana" w:hAnsi="Verdana" w:cs="Arial"/>
          <w:sz w:val="20"/>
          <w:szCs w:val="20"/>
        </w:rPr>
        <w:t>Grupa Kapitałowa GPW w drugim kwartale 2025 r</w:t>
      </w:r>
      <w:r>
        <w:rPr>
          <w:rFonts w:ascii="Verdana" w:hAnsi="Verdana" w:cs="Arial"/>
          <w:sz w:val="20"/>
          <w:szCs w:val="20"/>
        </w:rPr>
        <w:t>oku</w:t>
      </w:r>
      <w:r w:rsidRPr="00DC0D20">
        <w:rPr>
          <w:rFonts w:ascii="Verdana" w:hAnsi="Verdana" w:cs="Arial"/>
          <w:sz w:val="20"/>
          <w:szCs w:val="20"/>
        </w:rPr>
        <w:t xml:space="preserve"> osiągnęła rekordowe przychody na poziomie 144,1 mln zł. Oznacza to wzrost o 8,9% w ujęciu kwartalnym oraz o 19,2% rok do roku. </w:t>
      </w:r>
      <w:r w:rsidR="00F2537B" w:rsidRPr="00F2537B">
        <w:rPr>
          <w:rFonts w:ascii="Verdana" w:hAnsi="Verdana" w:cs="Arial"/>
          <w:sz w:val="20"/>
          <w:szCs w:val="20"/>
        </w:rPr>
        <w:t xml:space="preserve">Przychody w segmencie Rynku Finansowego wzrosły o 23,7% </w:t>
      </w:r>
      <w:proofErr w:type="spellStart"/>
      <w:r w:rsidR="00F2537B" w:rsidRPr="00F2537B">
        <w:rPr>
          <w:rFonts w:ascii="Verdana" w:hAnsi="Verdana" w:cs="Arial"/>
          <w:sz w:val="20"/>
          <w:szCs w:val="20"/>
        </w:rPr>
        <w:t>rdr</w:t>
      </w:r>
      <w:proofErr w:type="spellEnd"/>
      <w:r w:rsidR="00F2537B" w:rsidRPr="00F2537B">
        <w:rPr>
          <w:rFonts w:ascii="Verdana" w:hAnsi="Verdana" w:cs="Arial"/>
          <w:sz w:val="20"/>
          <w:szCs w:val="20"/>
        </w:rPr>
        <w:t xml:space="preserve">, osiągając </w:t>
      </w:r>
      <w:r w:rsidR="00011BC5">
        <w:rPr>
          <w:rFonts w:ascii="Verdana" w:hAnsi="Verdana" w:cs="Arial"/>
          <w:sz w:val="20"/>
          <w:szCs w:val="20"/>
        </w:rPr>
        <w:t xml:space="preserve">    </w:t>
      </w:r>
      <w:r w:rsidR="00F2537B" w:rsidRPr="00F2537B">
        <w:rPr>
          <w:rFonts w:ascii="Verdana" w:hAnsi="Verdana" w:cs="Arial"/>
          <w:sz w:val="20"/>
          <w:szCs w:val="20"/>
        </w:rPr>
        <w:t>95,2 mln zł, głównie dzięki rekordowym obrotom sesyjnym na Głównym Rynku</w:t>
      </w:r>
      <w:r w:rsidR="00F2537B">
        <w:rPr>
          <w:rFonts w:ascii="Verdana" w:hAnsi="Verdana" w:cs="Arial"/>
          <w:sz w:val="20"/>
          <w:szCs w:val="20"/>
        </w:rPr>
        <w:t xml:space="preserve"> GPW</w:t>
      </w:r>
      <w:r w:rsidRPr="00DC0D20">
        <w:rPr>
          <w:rFonts w:ascii="Verdana" w:hAnsi="Verdana" w:cs="Arial"/>
          <w:sz w:val="20"/>
          <w:szCs w:val="20"/>
        </w:rPr>
        <w:t>.</w:t>
      </w:r>
      <w:r w:rsidR="00F2537B">
        <w:rPr>
          <w:rFonts w:ascii="Verdana" w:hAnsi="Verdana" w:cs="Arial"/>
          <w:sz w:val="20"/>
          <w:szCs w:val="20"/>
        </w:rPr>
        <w:t xml:space="preserve"> </w:t>
      </w:r>
    </w:p>
    <w:p w14:paraId="0584270F" w14:textId="77777777" w:rsidR="00F2537B" w:rsidRDefault="00F2537B" w:rsidP="00F2537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00A59FD8" w14:textId="621D963F" w:rsidR="00F2537B" w:rsidRDefault="00F2537B" w:rsidP="00F2537B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548C4">
        <w:rPr>
          <w:rFonts w:ascii="Verdana" w:hAnsi="Verdana" w:cs="Arial"/>
          <w:sz w:val="20"/>
          <w:szCs w:val="20"/>
        </w:rPr>
        <w:t>Na Rynku Towarowym w drugim kwartale utrzymały się pozytywne tendencje. Wyższe przychody Towarowej Giełdy Energii były efektem wzrostu obrotu gazem zarówno na rynku spot, jak i terminowym</w:t>
      </w:r>
      <w:r w:rsidR="00B766E3">
        <w:rPr>
          <w:rFonts w:ascii="Verdana" w:hAnsi="Verdana" w:cs="Arial"/>
          <w:sz w:val="20"/>
          <w:szCs w:val="20"/>
        </w:rPr>
        <w:t xml:space="preserve">, </w:t>
      </w:r>
      <w:r w:rsidRPr="00D548C4">
        <w:rPr>
          <w:rFonts w:ascii="Verdana" w:hAnsi="Verdana" w:cs="Arial"/>
          <w:sz w:val="20"/>
          <w:szCs w:val="20"/>
        </w:rPr>
        <w:t xml:space="preserve">co odzwierciedla rosnącą rolę tego surowca w krajowym </w:t>
      </w:r>
      <w:proofErr w:type="spellStart"/>
      <w:r w:rsidRPr="00D548C4">
        <w:rPr>
          <w:rFonts w:ascii="Verdana" w:hAnsi="Verdana" w:cs="Arial"/>
          <w:sz w:val="20"/>
          <w:szCs w:val="20"/>
        </w:rPr>
        <w:t>miksie</w:t>
      </w:r>
      <w:proofErr w:type="spellEnd"/>
      <w:r w:rsidRPr="00D548C4">
        <w:rPr>
          <w:rFonts w:ascii="Verdana" w:hAnsi="Verdana" w:cs="Arial"/>
          <w:sz w:val="20"/>
          <w:szCs w:val="20"/>
        </w:rPr>
        <w:t xml:space="preserve"> energetycznym. W rezultacie przychody Grupy w segmencie Rynku Towarowego zwiększyły się o 12,5% </w:t>
      </w:r>
      <w:proofErr w:type="spellStart"/>
      <w:r w:rsidRPr="00D548C4">
        <w:rPr>
          <w:rFonts w:ascii="Verdana" w:hAnsi="Verdana" w:cs="Arial"/>
          <w:sz w:val="20"/>
          <w:szCs w:val="20"/>
        </w:rPr>
        <w:t>rdr</w:t>
      </w:r>
      <w:proofErr w:type="spellEnd"/>
      <w:r w:rsidRPr="00D548C4">
        <w:rPr>
          <w:rFonts w:ascii="Verdana" w:hAnsi="Verdana" w:cs="Arial"/>
          <w:sz w:val="20"/>
          <w:szCs w:val="20"/>
        </w:rPr>
        <w:t>, osiągając 44,4 mln zł.</w:t>
      </w:r>
    </w:p>
    <w:p w14:paraId="6CF1E2BB" w14:textId="77777777" w:rsidR="00F2537B" w:rsidRDefault="00F2537B" w:rsidP="00F2537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5CB707B9" w14:textId="449FBE7D" w:rsidR="00F2537B" w:rsidRDefault="00DC0D20" w:rsidP="00DC0D20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DC0D20">
        <w:rPr>
          <w:rFonts w:ascii="Verdana" w:hAnsi="Verdana" w:cs="Arial"/>
          <w:sz w:val="20"/>
          <w:szCs w:val="20"/>
        </w:rPr>
        <w:t xml:space="preserve">Koszty operacyjne Grupy w drugim kwartale wyniosły 90,6 mln zł, rosnąc o 8,1% </w:t>
      </w:r>
      <w:proofErr w:type="spellStart"/>
      <w:r w:rsidRPr="00DC0D20">
        <w:rPr>
          <w:rFonts w:ascii="Verdana" w:hAnsi="Verdana" w:cs="Arial"/>
          <w:sz w:val="20"/>
          <w:szCs w:val="20"/>
        </w:rPr>
        <w:t>rdr</w:t>
      </w:r>
      <w:proofErr w:type="spellEnd"/>
      <w:r w:rsidRPr="00DC0D20">
        <w:rPr>
          <w:rFonts w:ascii="Verdana" w:hAnsi="Verdana" w:cs="Arial"/>
          <w:sz w:val="20"/>
          <w:szCs w:val="20"/>
        </w:rPr>
        <w:t xml:space="preserve">. Był to piąty z rzędu kwartał, w którym dynamika przychodów przewyższała tempo wzrostu kosztów. </w:t>
      </w:r>
      <w:r w:rsidR="00F2537B" w:rsidRPr="00D308D0">
        <w:rPr>
          <w:rFonts w:ascii="Verdana" w:hAnsi="Verdana" w:cs="Arial"/>
          <w:sz w:val="20"/>
          <w:szCs w:val="20"/>
        </w:rPr>
        <w:t>W efekcie wskaźnik kosztów do dochodów (</w:t>
      </w:r>
      <w:proofErr w:type="spellStart"/>
      <w:r w:rsidR="00F2537B" w:rsidRPr="00D308D0">
        <w:rPr>
          <w:rFonts w:ascii="Verdana" w:hAnsi="Verdana" w:cs="Arial"/>
          <w:sz w:val="20"/>
          <w:szCs w:val="20"/>
        </w:rPr>
        <w:t>cost</w:t>
      </w:r>
      <w:proofErr w:type="spellEnd"/>
      <w:r w:rsidR="00F2537B" w:rsidRPr="00D308D0">
        <w:rPr>
          <w:rFonts w:ascii="Verdana" w:hAnsi="Verdana" w:cs="Arial"/>
          <w:sz w:val="20"/>
          <w:szCs w:val="20"/>
        </w:rPr>
        <w:t>/</w:t>
      </w:r>
      <w:proofErr w:type="spellStart"/>
      <w:r w:rsidR="00F2537B" w:rsidRPr="00D308D0">
        <w:rPr>
          <w:rFonts w:ascii="Verdana" w:hAnsi="Verdana" w:cs="Arial"/>
          <w:sz w:val="20"/>
          <w:szCs w:val="20"/>
        </w:rPr>
        <w:t>income</w:t>
      </w:r>
      <w:proofErr w:type="spellEnd"/>
      <w:r w:rsidR="00F2537B" w:rsidRPr="00D308D0">
        <w:rPr>
          <w:rFonts w:ascii="Verdana" w:hAnsi="Verdana" w:cs="Arial"/>
          <w:sz w:val="20"/>
          <w:szCs w:val="20"/>
        </w:rPr>
        <w:t xml:space="preserve">) spadł o 6,4 </w:t>
      </w:r>
      <w:proofErr w:type="spellStart"/>
      <w:r w:rsidR="00F2537B" w:rsidRPr="00D308D0">
        <w:rPr>
          <w:rFonts w:ascii="Verdana" w:hAnsi="Verdana" w:cs="Arial"/>
          <w:sz w:val="20"/>
          <w:szCs w:val="20"/>
        </w:rPr>
        <w:t>p.p</w:t>
      </w:r>
      <w:proofErr w:type="spellEnd"/>
      <w:r w:rsidR="00F2537B" w:rsidRPr="00D308D0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="00F2537B" w:rsidRPr="00D308D0">
        <w:rPr>
          <w:rFonts w:ascii="Verdana" w:hAnsi="Verdana" w:cs="Arial"/>
          <w:sz w:val="20"/>
          <w:szCs w:val="20"/>
        </w:rPr>
        <w:t>r</w:t>
      </w:r>
      <w:r w:rsidR="00F2537B">
        <w:rPr>
          <w:rFonts w:ascii="Verdana" w:hAnsi="Verdana" w:cs="Arial"/>
          <w:sz w:val="20"/>
          <w:szCs w:val="20"/>
        </w:rPr>
        <w:t>dr</w:t>
      </w:r>
      <w:proofErr w:type="spellEnd"/>
      <w:r w:rsidR="00F2537B">
        <w:rPr>
          <w:rFonts w:ascii="Verdana" w:hAnsi="Verdana" w:cs="Arial"/>
          <w:sz w:val="20"/>
          <w:szCs w:val="20"/>
        </w:rPr>
        <w:t xml:space="preserve"> do </w:t>
      </w:r>
      <w:r w:rsidR="00F2537B" w:rsidRPr="00D308D0">
        <w:rPr>
          <w:rFonts w:ascii="Verdana" w:hAnsi="Verdana" w:cs="Arial"/>
          <w:sz w:val="20"/>
          <w:szCs w:val="20"/>
        </w:rPr>
        <w:t>poziom</w:t>
      </w:r>
      <w:r w:rsidR="00F2537B">
        <w:rPr>
          <w:rFonts w:ascii="Verdana" w:hAnsi="Verdana" w:cs="Arial"/>
          <w:sz w:val="20"/>
          <w:szCs w:val="20"/>
        </w:rPr>
        <w:t>u</w:t>
      </w:r>
      <w:r w:rsidR="00F2537B" w:rsidRPr="00D308D0">
        <w:rPr>
          <w:rFonts w:ascii="Verdana" w:hAnsi="Verdana" w:cs="Arial"/>
          <w:sz w:val="20"/>
          <w:szCs w:val="20"/>
        </w:rPr>
        <w:t xml:space="preserve"> 62,9%</w:t>
      </w:r>
      <w:r w:rsidR="00F2537B">
        <w:rPr>
          <w:rFonts w:ascii="Verdana" w:hAnsi="Verdana" w:cs="Arial"/>
          <w:sz w:val="20"/>
          <w:szCs w:val="20"/>
        </w:rPr>
        <w:t xml:space="preserve">. To </w:t>
      </w:r>
      <w:r w:rsidR="00F2537B" w:rsidRPr="00D308D0">
        <w:rPr>
          <w:rFonts w:ascii="Verdana" w:hAnsi="Verdana" w:cs="Arial"/>
          <w:sz w:val="20"/>
          <w:szCs w:val="20"/>
        </w:rPr>
        <w:t xml:space="preserve">najniższy </w:t>
      </w:r>
      <w:r w:rsidR="00F2537B">
        <w:rPr>
          <w:rFonts w:ascii="Verdana" w:hAnsi="Verdana" w:cs="Arial"/>
          <w:sz w:val="20"/>
          <w:szCs w:val="20"/>
        </w:rPr>
        <w:t xml:space="preserve">wynik </w:t>
      </w:r>
      <w:r w:rsidR="00F2537B" w:rsidRPr="00D308D0">
        <w:rPr>
          <w:rFonts w:ascii="Verdana" w:hAnsi="Verdana" w:cs="Arial"/>
          <w:sz w:val="20"/>
          <w:szCs w:val="20"/>
        </w:rPr>
        <w:t>od ponad trzech lat.</w:t>
      </w:r>
    </w:p>
    <w:p w14:paraId="1F27CDE3" w14:textId="77777777" w:rsidR="00DC0D20" w:rsidRPr="00DC0D20" w:rsidRDefault="00DC0D20" w:rsidP="00DC0D20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7C597885" w14:textId="11796F68" w:rsidR="00F2537B" w:rsidRDefault="00F2537B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1F0893">
        <w:rPr>
          <w:rFonts w:ascii="Verdana" w:hAnsi="Verdana" w:cs="Arial"/>
          <w:sz w:val="20"/>
          <w:szCs w:val="20"/>
        </w:rPr>
        <w:t xml:space="preserve">EBITDA Grupy Kapitałowej GPW w drugim kwartale 2025 roku wyniosła 62,4 mln zł, co oznacza wzrost o 43,0% </w:t>
      </w:r>
      <w:proofErr w:type="spellStart"/>
      <w:r w:rsidRPr="001F0893">
        <w:rPr>
          <w:rFonts w:ascii="Verdana" w:hAnsi="Verdana" w:cs="Arial"/>
          <w:sz w:val="20"/>
          <w:szCs w:val="20"/>
        </w:rPr>
        <w:t>rdr</w:t>
      </w:r>
      <w:proofErr w:type="spellEnd"/>
      <w:r w:rsidRPr="001F0893">
        <w:rPr>
          <w:rFonts w:ascii="Verdana" w:hAnsi="Verdana" w:cs="Arial"/>
          <w:sz w:val="20"/>
          <w:szCs w:val="20"/>
        </w:rPr>
        <w:t xml:space="preserve">. Marża EBITDA sięgnęła </w:t>
      </w:r>
      <w:r w:rsidR="003A7327" w:rsidRPr="001F0893">
        <w:rPr>
          <w:rFonts w:ascii="Verdana" w:hAnsi="Verdana" w:cs="Arial"/>
          <w:sz w:val="20"/>
          <w:szCs w:val="20"/>
        </w:rPr>
        <w:t xml:space="preserve">poziom nienotowany od trzech lat </w:t>
      </w:r>
      <w:r w:rsidRPr="001F0893">
        <w:rPr>
          <w:rFonts w:ascii="Verdana" w:hAnsi="Verdana" w:cs="Arial"/>
          <w:sz w:val="20"/>
          <w:szCs w:val="20"/>
        </w:rPr>
        <w:t xml:space="preserve">43,3%, poprawiając się o 7,2 </w:t>
      </w:r>
      <w:proofErr w:type="spellStart"/>
      <w:r w:rsidRPr="001F0893">
        <w:rPr>
          <w:rFonts w:ascii="Verdana" w:hAnsi="Verdana" w:cs="Arial"/>
          <w:sz w:val="20"/>
          <w:szCs w:val="20"/>
        </w:rPr>
        <w:t>p.p</w:t>
      </w:r>
      <w:proofErr w:type="spellEnd"/>
      <w:r w:rsidRPr="001F0893">
        <w:rPr>
          <w:rFonts w:ascii="Verdana" w:hAnsi="Verdana" w:cs="Arial"/>
          <w:sz w:val="20"/>
          <w:szCs w:val="20"/>
        </w:rPr>
        <w:t xml:space="preserve">. w porównaniu z ubiegłym rokiem. </w:t>
      </w:r>
      <w:r w:rsidR="00BD1D68" w:rsidRPr="001F0893">
        <w:rPr>
          <w:rFonts w:ascii="Verdana" w:hAnsi="Verdana" w:cs="Arial"/>
          <w:sz w:val="20"/>
          <w:szCs w:val="20"/>
        </w:rPr>
        <w:t>Z</w:t>
      </w:r>
      <w:r w:rsidRPr="001F0893">
        <w:rPr>
          <w:rFonts w:ascii="Verdana" w:hAnsi="Verdana" w:cs="Arial"/>
          <w:sz w:val="20"/>
          <w:szCs w:val="20"/>
        </w:rPr>
        <w:t>ysk netto osiągnął 57,7 mln zł i był wyższy o 42,9% niż w analogicznym okresie 2024 roku.</w:t>
      </w:r>
    </w:p>
    <w:p w14:paraId="0F719116" w14:textId="77777777" w:rsidR="00F2537B" w:rsidRDefault="00F2537B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22E580CB" w14:textId="77777777" w:rsidR="00DC0D20" w:rsidRDefault="00DC0D20" w:rsidP="00DC0D20">
      <w:pPr>
        <w:spacing w:after="0" w:line="22" w:lineRule="atLeast"/>
        <w:jc w:val="both"/>
        <w:rPr>
          <w:rFonts w:ascii="Verdana" w:hAnsi="Verdana" w:cs="Arial"/>
          <w:b/>
          <w:bCs/>
          <w:color w:val="5B9BD5" w:themeColor="accent1"/>
          <w:sz w:val="20"/>
          <w:szCs w:val="20"/>
        </w:rPr>
      </w:pPr>
      <w:r w:rsidRPr="00DC0D20">
        <w:rPr>
          <w:rFonts w:ascii="Verdana" w:hAnsi="Verdana" w:cs="Arial"/>
          <w:b/>
          <w:bCs/>
          <w:color w:val="5B9BD5" w:themeColor="accent1"/>
          <w:sz w:val="20"/>
          <w:szCs w:val="20"/>
        </w:rPr>
        <w:t>Dynamiczny wzrost obrotów i historyczne poziomy indeksów</w:t>
      </w:r>
    </w:p>
    <w:p w14:paraId="36D18D76" w14:textId="77777777" w:rsidR="00DC0D20" w:rsidRDefault="00DC0D20" w:rsidP="00DC0D20">
      <w:pPr>
        <w:spacing w:after="0" w:line="22" w:lineRule="atLeast"/>
        <w:jc w:val="both"/>
        <w:rPr>
          <w:rFonts w:ascii="Verdana" w:hAnsi="Verdana" w:cs="Arial"/>
          <w:b/>
          <w:bCs/>
          <w:color w:val="5B9BD5" w:themeColor="accent1"/>
          <w:sz w:val="20"/>
          <w:szCs w:val="20"/>
        </w:rPr>
      </w:pPr>
    </w:p>
    <w:p w14:paraId="34CB94B5" w14:textId="539E3D70" w:rsidR="00D548C4" w:rsidRDefault="00D548C4" w:rsidP="00901F51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548C4">
        <w:rPr>
          <w:rFonts w:ascii="Verdana" w:hAnsi="Verdana" w:cs="Arial"/>
          <w:sz w:val="20"/>
          <w:szCs w:val="20"/>
        </w:rPr>
        <w:t>Wzrost przychodów w segmencie Rynku Finansowego był efektem rekordowych obrotów sesyjnych na Głównym Rynku GPW. Od kwietnia do czerwca 2025 r</w:t>
      </w:r>
      <w:r>
        <w:rPr>
          <w:rFonts w:ascii="Verdana" w:hAnsi="Verdana" w:cs="Arial"/>
          <w:sz w:val="20"/>
          <w:szCs w:val="20"/>
        </w:rPr>
        <w:t>oku</w:t>
      </w:r>
      <w:r w:rsidRPr="00D548C4">
        <w:rPr>
          <w:rFonts w:ascii="Verdana" w:hAnsi="Verdana" w:cs="Arial"/>
          <w:sz w:val="20"/>
          <w:szCs w:val="20"/>
        </w:rPr>
        <w:t xml:space="preserve"> wartość obrotów wyniosła </w:t>
      </w:r>
      <w:r w:rsidRPr="0091383E">
        <w:rPr>
          <w:rFonts w:ascii="Verdana" w:hAnsi="Verdana" w:cs="Arial"/>
          <w:sz w:val="20"/>
          <w:szCs w:val="20"/>
        </w:rPr>
        <w:t>131,5</w:t>
      </w:r>
      <w:r w:rsidRPr="00D548C4">
        <w:rPr>
          <w:rFonts w:ascii="Verdana" w:hAnsi="Verdana" w:cs="Arial"/>
          <w:sz w:val="20"/>
          <w:szCs w:val="20"/>
        </w:rPr>
        <w:t xml:space="preserve"> mld zł, co oznacza wzrost o 48,7% </w:t>
      </w:r>
      <w:proofErr w:type="spellStart"/>
      <w:r w:rsidRPr="00D548C4">
        <w:rPr>
          <w:rFonts w:ascii="Verdana" w:hAnsi="Verdana" w:cs="Arial"/>
          <w:sz w:val="20"/>
          <w:szCs w:val="20"/>
        </w:rPr>
        <w:t>r</w:t>
      </w:r>
      <w:r>
        <w:rPr>
          <w:rFonts w:ascii="Verdana" w:hAnsi="Verdana" w:cs="Arial"/>
          <w:sz w:val="20"/>
          <w:szCs w:val="20"/>
        </w:rPr>
        <w:t>dr</w:t>
      </w:r>
      <w:proofErr w:type="spellEnd"/>
      <w:r w:rsidRPr="00D548C4">
        <w:rPr>
          <w:rFonts w:ascii="Verdana" w:hAnsi="Verdana" w:cs="Arial"/>
          <w:sz w:val="20"/>
          <w:szCs w:val="20"/>
        </w:rPr>
        <w:t xml:space="preserve">. Średnia dzienna wartość obrotu </w:t>
      </w:r>
      <w:r w:rsidRPr="00D548C4">
        <w:rPr>
          <w:rFonts w:ascii="Verdana" w:hAnsi="Verdana" w:cs="Arial"/>
          <w:sz w:val="20"/>
          <w:szCs w:val="20"/>
        </w:rPr>
        <w:lastRenderedPageBreak/>
        <w:t xml:space="preserve">akcjami w arkuszu zleceń osiągnęła 2,15 mld zł, notując wzrost o 51,2% </w:t>
      </w:r>
      <w:proofErr w:type="spellStart"/>
      <w:r w:rsidRPr="00D548C4">
        <w:rPr>
          <w:rFonts w:ascii="Verdana" w:hAnsi="Verdana" w:cs="Arial"/>
          <w:sz w:val="20"/>
          <w:szCs w:val="20"/>
        </w:rPr>
        <w:t>rdr</w:t>
      </w:r>
      <w:proofErr w:type="spellEnd"/>
      <w:r w:rsidRPr="00D548C4">
        <w:rPr>
          <w:rFonts w:ascii="Verdana" w:hAnsi="Verdana" w:cs="Arial"/>
          <w:sz w:val="20"/>
          <w:szCs w:val="20"/>
        </w:rPr>
        <w:t>. Wysoka aktywność inwestorów utrzymywała się także w lipcu</w:t>
      </w:r>
      <w:r w:rsidR="00200BCF">
        <w:rPr>
          <w:rFonts w:ascii="Verdana" w:hAnsi="Verdana" w:cs="Arial"/>
          <w:sz w:val="20"/>
          <w:szCs w:val="20"/>
        </w:rPr>
        <w:t xml:space="preserve"> - </w:t>
      </w:r>
      <w:r w:rsidRPr="00D548C4">
        <w:rPr>
          <w:rFonts w:ascii="Verdana" w:hAnsi="Verdana" w:cs="Arial"/>
          <w:sz w:val="20"/>
          <w:szCs w:val="20"/>
        </w:rPr>
        <w:t>wartość obrotów sesyjnych akcjami na Głównym Rynku wyniosła 41,0 mld zł, czyli o 71,6% więcej niż w analogicznym miesiącu ubiegłego roku.</w:t>
      </w:r>
    </w:p>
    <w:p w14:paraId="12FF6A4D" w14:textId="77777777" w:rsidR="00D548C4" w:rsidRDefault="00D548C4" w:rsidP="00901F51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353828A0" w14:textId="72FD2BFD" w:rsidR="00D548C4" w:rsidRDefault="00D548C4" w:rsidP="00901F51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548C4">
        <w:rPr>
          <w:rFonts w:ascii="Verdana" w:hAnsi="Verdana" w:cs="Arial"/>
          <w:sz w:val="20"/>
          <w:szCs w:val="20"/>
        </w:rPr>
        <w:t xml:space="preserve">Rosnącym obrotom na GPW towarzyszyły rekordowe poziomy giełdowych indeksów. </w:t>
      </w:r>
      <w:r w:rsidR="00011BC5">
        <w:rPr>
          <w:rFonts w:ascii="Verdana" w:hAnsi="Verdana" w:cs="Arial"/>
          <w:sz w:val="20"/>
          <w:szCs w:val="20"/>
        </w:rPr>
        <w:t xml:space="preserve">         </w:t>
      </w:r>
      <w:r w:rsidRPr="00D548C4">
        <w:rPr>
          <w:rFonts w:ascii="Verdana" w:hAnsi="Verdana" w:cs="Arial"/>
          <w:sz w:val="20"/>
          <w:szCs w:val="20"/>
        </w:rPr>
        <w:t xml:space="preserve">24 kwietnia Warszawski Indeks Giełdowy po raz pierwszy w historii przekroczył granicę 100 tys. punktów, a drugi kwartał zakończył na poziomie blisko 105 tys. punktów. </w:t>
      </w:r>
      <w:r w:rsidR="00011BC5">
        <w:rPr>
          <w:rFonts w:ascii="Verdana" w:hAnsi="Verdana" w:cs="Arial"/>
          <w:sz w:val="20"/>
          <w:szCs w:val="20"/>
        </w:rPr>
        <w:t xml:space="preserve">              </w:t>
      </w:r>
      <w:r w:rsidRPr="00D548C4">
        <w:rPr>
          <w:rFonts w:ascii="Verdana" w:hAnsi="Verdana" w:cs="Arial"/>
          <w:sz w:val="20"/>
          <w:szCs w:val="20"/>
        </w:rPr>
        <w:t>W kolejnych tygodniach utrzymała się tendencja wzrostowa</w:t>
      </w:r>
      <w:r>
        <w:rPr>
          <w:rFonts w:ascii="Verdana" w:hAnsi="Verdana" w:cs="Arial"/>
          <w:sz w:val="20"/>
          <w:szCs w:val="20"/>
        </w:rPr>
        <w:t xml:space="preserve">. </w:t>
      </w:r>
      <w:r w:rsidR="00DD4596">
        <w:rPr>
          <w:rFonts w:ascii="Verdana" w:hAnsi="Verdana" w:cs="Arial"/>
          <w:sz w:val="20"/>
          <w:szCs w:val="20"/>
        </w:rPr>
        <w:t>19</w:t>
      </w:r>
      <w:r w:rsidRPr="00D548C4">
        <w:rPr>
          <w:rFonts w:ascii="Verdana" w:hAnsi="Verdana" w:cs="Arial"/>
          <w:sz w:val="20"/>
          <w:szCs w:val="20"/>
        </w:rPr>
        <w:t xml:space="preserve"> sierpnia </w:t>
      </w:r>
      <w:r>
        <w:rPr>
          <w:rFonts w:ascii="Verdana" w:hAnsi="Verdana" w:cs="Arial"/>
          <w:sz w:val="20"/>
          <w:szCs w:val="20"/>
        </w:rPr>
        <w:t xml:space="preserve">na zamknięciu notowań </w:t>
      </w:r>
      <w:r w:rsidR="00DD4596">
        <w:rPr>
          <w:rFonts w:ascii="Verdana" w:hAnsi="Verdana" w:cs="Arial"/>
          <w:sz w:val="20"/>
          <w:szCs w:val="20"/>
        </w:rPr>
        <w:t xml:space="preserve">indeks </w:t>
      </w:r>
      <w:r w:rsidRPr="00D548C4">
        <w:rPr>
          <w:rFonts w:ascii="Verdana" w:hAnsi="Verdana" w:cs="Arial"/>
          <w:sz w:val="20"/>
          <w:szCs w:val="20"/>
        </w:rPr>
        <w:t>WIG osiągnął rekordowy poziom 11</w:t>
      </w:r>
      <w:r w:rsidR="00DD4596">
        <w:rPr>
          <w:rFonts w:ascii="Verdana" w:hAnsi="Verdana" w:cs="Arial"/>
          <w:sz w:val="20"/>
          <w:szCs w:val="20"/>
        </w:rPr>
        <w:t xml:space="preserve">1 227 </w:t>
      </w:r>
      <w:r w:rsidRPr="00D548C4">
        <w:rPr>
          <w:rFonts w:ascii="Verdana" w:hAnsi="Verdana" w:cs="Arial"/>
          <w:sz w:val="20"/>
          <w:szCs w:val="20"/>
        </w:rPr>
        <w:t xml:space="preserve">punktów, natomiast </w:t>
      </w:r>
      <w:r w:rsidR="00DD4596">
        <w:rPr>
          <w:rFonts w:ascii="Verdana" w:hAnsi="Verdana" w:cs="Arial"/>
          <w:sz w:val="20"/>
          <w:szCs w:val="20"/>
        </w:rPr>
        <w:t xml:space="preserve">8 sierpnia </w:t>
      </w:r>
      <w:r w:rsidR="00011BC5">
        <w:rPr>
          <w:rFonts w:ascii="Verdana" w:hAnsi="Verdana" w:cs="Arial"/>
          <w:sz w:val="20"/>
          <w:szCs w:val="20"/>
        </w:rPr>
        <w:t xml:space="preserve">indeks </w:t>
      </w:r>
      <w:r w:rsidRPr="00D548C4">
        <w:rPr>
          <w:rFonts w:ascii="Verdana" w:hAnsi="Verdana" w:cs="Arial"/>
          <w:sz w:val="20"/>
          <w:szCs w:val="20"/>
        </w:rPr>
        <w:t>WIG20 zakończył sesję na poziomie 3</w:t>
      </w:r>
      <w:r w:rsidR="00BD1D68">
        <w:rPr>
          <w:rFonts w:ascii="Verdana" w:hAnsi="Verdana" w:cs="Arial"/>
          <w:sz w:val="20"/>
          <w:szCs w:val="20"/>
        </w:rPr>
        <w:t xml:space="preserve"> </w:t>
      </w:r>
      <w:r w:rsidRPr="00D548C4">
        <w:rPr>
          <w:rFonts w:ascii="Verdana" w:hAnsi="Verdana" w:cs="Arial"/>
          <w:sz w:val="20"/>
          <w:szCs w:val="20"/>
        </w:rPr>
        <w:t>022 punktów, przekraczając tym samym po raz pierwszy od ponad 17 lat barierę 3 tys. punktów. Od początku 2025 r</w:t>
      </w:r>
      <w:r w:rsidR="00011BC5">
        <w:rPr>
          <w:rFonts w:ascii="Verdana" w:hAnsi="Verdana" w:cs="Arial"/>
          <w:sz w:val="20"/>
          <w:szCs w:val="20"/>
        </w:rPr>
        <w:t>oku</w:t>
      </w:r>
      <w:r w:rsidRPr="00D548C4">
        <w:rPr>
          <w:rFonts w:ascii="Verdana" w:hAnsi="Verdana" w:cs="Arial"/>
          <w:sz w:val="20"/>
          <w:szCs w:val="20"/>
        </w:rPr>
        <w:t xml:space="preserve"> warszawski parkiet należy do najsilniejszych rynków akcji na świecie, a główne indeksy zyskały już ponad 3</w:t>
      </w:r>
      <w:r w:rsidR="00DD4596">
        <w:rPr>
          <w:rFonts w:ascii="Verdana" w:hAnsi="Verdana" w:cs="Arial"/>
          <w:sz w:val="20"/>
          <w:szCs w:val="20"/>
        </w:rPr>
        <w:t>6</w:t>
      </w:r>
      <w:r w:rsidRPr="00D548C4">
        <w:rPr>
          <w:rFonts w:ascii="Verdana" w:hAnsi="Verdana" w:cs="Arial"/>
          <w:sz w:val="20"/>
          <w:szCs w:val="20"/>
        </w:rPr>
        <w:t>%.</w:t>
      </w:r>
    </w:p>
    <w:p w14:paraId="4C204C83" w14:textId="77777777" w:rsidR="000E04C8" w:rsidRDefault="000E04C8" w:rsidP="00D308D0">
      <w:pPr>
        <w:spacing w:after="0" w:line="22" w:lineRule="atLeast"/>
        <w:jc w:val="both"/>
        <w:rPr>
          <w:rFonts w:ascii="Verdana" w:hAnsi="Verdana" w:cs="Arial"/>
          <w:i/>
          <w:iCs/>
          <w:sz w:val="20"/>
          <w:szCs w:val="20"/>
          <w:highlight w:val="yellow"/>
        </w:rPr>
      </w:pPr>
    </w:p>
    <w:p w14:paraId="6DEEC5AF" w14:textId="237688EC" w:rsidR="00B97D8C" w:rsidRPr="00D05F90" w:rsidRDefault="00D05F90" w:rsidP="00B97D8C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D05F90">
        <w:rPr>
          <w:rFonts w:ascii="Verdana" w:hAnsi="Verdana" w:cs="Arial"/>
          <w:i/>
          <w:iCs/>
          <w:sz w:val="20"/>
          <w:szCs w:val="20"/>
        </w:rPr>
        <w:t xml:space="preserve">- </w:t>
      </w:r>
      <w:r w:rsidR="00E529BD">
        <w:rPr>
          <w:rFonts w:ascii="Verdana" w:hAnsi="Verdana" w:cs="Arial"/>
          <w:i/>
          <w:iCs/>
          <w:sz w:val="20"/>
          <w:szCs w:val="20"/>
        </w:rPr>
        <w:t>R</w:t>
      </w:r>
      <w:r w:rsidRPr="00D05F90">
        <w:rPr>
          <w:rFonts w:ascii="Verdana" w:hAnsi="Verdana" w:cs="Arial"/>
          <w:i/>
          <w:iCs/>
          <w:sz w:val="20"/>
          <w:szCs w:val="20"/>
        </w:rPr>
        <w:t>ekordowe przychody Grupy w pierwszej połowie 2025 r</w:t>
      </w:r>
      <w:r w:rsidR="00E529BD">
        <w:rPr>
          <w:rFonts w:ascii="Verdana" w:hAnsi="Verdana" w:cs="Arial"/>
          <w:i/>
          <w:iCs/>
          <w:sz w:val="20"/>
          <w:szCs w:val="20"/>
        </w:rPr>
        <w:t>oku</w:t>
      </w:r>
      <w:r w:rsidRPr="00D05F90">
        <w:rPr>
          <w:rFonts w:ascii="Verdana" w:hAnsi="Verdana" w:cs="Arial"/>
          <w:i/>
          <w:iCs/>
          <w:sz w:val="20"/>
          <w:szCs w:val="20"/>
        </w:rPr>
        <w:t xml:space="preserve"> idą w parze z historycznymi notowaniami głównych indeksów. Konsekwentnie kontrolujemy koszty operacyjne </w:t>
      </w:r>
      <w:r w:rsidR="00A613AB">
        <w:rPr>
          <w:rFonts w:ascii="Verdana" w:hAnsi="Verdana" w:cs="Arial"/>
          <w:i/>
          <w:iCs/>
          <w:sz w:val="20"/>
          <w:szCs w:val="20"/>
        </w:rPr>
        <w:t xml:space="preserve">                </w:t>
      </w:r>
      <w:r w:rsidRPr="00D05F90">
        <w:rPr>
          <w:rFonts w:ascii="Verdana" w:hAnsi="Verdana" w:cs="Arial"/>
          <w:i/>
          <w:iCs/>
          <w:sz w:val="20"/>
          <w:szCs w:val="20"/>
        </w:rPr>
        <w:t xml:space="preserve">i wzmacniamy fundamenty rynku, który </w:t>
      </w:r>
      <w:r w:rsidR="00000AB5">
        <w:rPr>
          <w:rFonts w:ascii="Verdana" w:hAnsi="Verdana" w:cs="Arial"/>
          <w:i/>
          <w:iCs/>
          <w:sz w:val="20"/>
          <w:szCs w:val="20"/>
        </w:rPr>
        <w:t xml:space="preserve">powinien stać </w:t>
      </w:r>
      <w:r w:rsidRPr="00D05F90">
        <w:rPr>
          <w:rFonts w:ascii="Verdana" w:hAnsi="Verdana" w:cs="Arial"/>
          <w:i/>
          <w:iCs/>
          <w:sz w:val="20"/>
          <w:szCs w:val="20"/>
        </w:rPr>
        <w:t>się coraz silniejszym źródłem kapitału dla polskich firm inwestujących, rozwijających się i wdrażających innowacje. Silniejszy rynek kapitałowy</w:t>
      </w:r>
      <w:r w:rsidR="00DD4596">
        <w:rPr>
          <w:rFonts w:ascii="Verdana" w:hAnsi="Verdana" w:cs="Arial"/>
          <w:i/>
          <w:iCs/>
          <w:sz w:val="20"/>
          <w:szCs w:val="20"/>
        </w:rPr>
        <w:t>,</w:t>
      </w:r>
      <w:r w:rsidRPr="00D05F90">
        <w:rPr>
          <w:rFonts w:ascii="Verdana" w:hAnsi="Verdana" w:cs="Arial"/>
          <w:i/>
          <w:iCs/>
          <w:sz w:val="20"/>
          <w:szCs w:val="20"/>
        </w:rPr>
        <w:t xml:space="preserve"> to także większe możliwości dla inwestorów indywidualnych.</w:t>
      </w:r>
      <w:r w:rsidR="007E18B6">
        <w:rPr>
          <w:rFonts w:ascii="Verdana" w:hAnsi="Verdana" w:cs="Arial"/>
          <w:i/>
          <w:iCs/>
          <w:sz w:val="20"/>
          <w:szCs w:val="20"/>
        </w:rPr>
        <w:t xml:space="preserve"> W kontekście rozwoju rynku, bardzo nas cieszy</w:t>
      </w:r>
      <w:r w:rsidRPr="00D05F90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7E18B6">
        <w:rPr>
          <w:rFonts w:ascii="Verdana" w:hAnsi="Verdana" w:cs="Arial"/>
          <w:i/>
          <w:iCs/>
          <w:sz w:val="20"/>
          <w:szCs w:val="20"/>
        </w:rPr>
        <w:t>p</w:t>
      </w:r>
      <w:r w:rsidR="007E18B6" w:rsidRPr="00D05F90">
        <w:rPr>
          <w:rFonts w:ascii="Verdana" w:hAnsi="Verdana" w:cs="Arial"/>
          <w:i/>
          <w:iCs/>
          <w:sz w:val="20"/>
          <w:szCs w:val="20"/>
        </w:rPr>
        <w:t xml:space="preserve">rojekt </w:t>
      </w:r>
      <w:r w:rsidRPr="00D05F90">
        <w:rPr>
          <w:rFonts w:ascii="Verdana" w:hAnsi="Verdana" w:cs="Arial"/>
          <w:i/>
          <w:iCs/>
          <w:sz w:val="20"/>
          <w:szCs w:val="20"/>
        </w:rPr>
        <w:t>Ministerstwa Finansów dotyczący wprowadzenia Osobistego Konta Inwestycyjnego</w:t>
      </w:r>
      <w:r w:rsidR="007E18B6">
        <w:rPr>
          <w:rFonts w:ascii="Verdana" w:hAnsi="Verdana" w:cs="Arial"/>
          <w:i/>
          <w:iCs/>
          <w:sz w:val="20"/>
          <w:szCs w:val="20"/>
        </w:rPr>
        <w:t>, który</w:t>
      </w:r>
      <w:r w:rsidRPr="00D05F90">
        <w:rPr>
          <w:rFonts w:ascii="Verdana" w:hAnsi="Verdana" w:cs="Arial"/>
          <w:i/>
          <w:iCs/>
          <w:sz w:val="20"/>
          <w:szCs w:val="20"/>
        </w:rPr>
        <w:t xml:space="preserve"> może znacząco zwiększyć zainteresowanie Polaków giełdą. Dzięki kwocie wolnej od podatku OKI stanie się impulsem do otwierania nowych rachunków maklerskich i źródłem napływu istotnych środków na rynek. Według szacunków Ministerstwa, w ciągu trzech lat na OKI może trafić nawet </w:t>
      </w:r>
      <w:r w:rsidR="00A613AB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Pr="00D05F90">
        <w:rPr>
          <w:rFonts w:ascii="Verdana" w:hAnsi="Verdana" w:cs="Arial"/>
          <w:i/>
          <w:iCs/>
          <w:sz w:val="20"/>
          <w:szCs w:val="20"/>
        </w:rPr>
        <w:t>100 mld zł. To ogromna szansa na ożywienie rynku kapitałowego i przyciągnięcie nowych inwestorów i emitentów</w:t>
      </w:r>
      <w:r w:rsidR="003A732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B97D8C" w:rsidRPr="00D05F90">
        <w:rPr>
          <w:rFonts w:ascii="Verdana" w:hAnsi="Verdana" w:cs="Arial"/>
          <w:sz w:val="20"/>
          <w:szCs w:val="20"/>
        </w:rPr>
        <w:t xml:space="preserve">– </w:t>
      </w:r>
      <w:r>
        <w:rPr>
          <w:rFonts w:ascii="Verdana" w:hAnsi="Verdana" w:cs="Arial"/>
          <w:sz w:val="20"/>
          <w:szCs w:val="20"/>
        </w:rPr>
        <w:t xml:space="preserve">stwierdza </w:t>
      </w:r>
      <w:r w:rsidR="00B97D8C" w:rsidRPr="00D05F90">
        <w:rPr>
          <w:rFonts w:ascii="Verdana" w:hAnsi="Verdana" w:cs="Arial"/>
          <w:sz w:val="20"/>
          <w:szCs w:val="20"/>
        </w:rPr>
        <w:t>Tomasz Bardziłowski, Prezes Zarządu Giełdy Papierów Wartościowych w Warszawie.</w:t>
      </w:r>
    </w:p>
    <w:p w14:paraId="7C22B472" w14:textId="77777777" w:rsidR="00B97D8C" w:rsidRPr="00D05F90" w:rsidRDefault="00B97D8C" w:rsidP="00B97D8C">
      <w:pPr>
        <w:spacing w:after="0" w:line="22" w:lineRule="atLeast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118EB835" w14:textId="655DDF48" w:rsidR="004A6AE5" w:rsidRPr="008A411D" w:rsidRDefault="004A6AE5" w:rsidP="004A6AE5">
      <w:pPr>
        <w:shd w:val="clear" w:color="auto" w:fill="FFFFFF"/>
        <w:spacing w:after="0" w:line="22" w:lineRule="atLeast"/>
        <w:jc w:val="both"/>
        <w:rPr>
          <w:rFonts w:ascii="Verdana" w:hAnsi="Verdana" w:cs="Arial"/>
          <w:b/>
          <w:bCs/>
          <w:color w:val="5B9BD5" w:themeColor="accent1"/>
          <w:sz w:val="20"/>
          <w:szCs w:val="20"/>
        </w:rPr>
      </w:pPr>
      <w:r>
        <w:rPr>
          <w:rFonts w:ascii="Verdana" w:hAnsi="Verdana" w:cs="Arial"/>
          <w:b/>
          <w:bCs/>
          <w:color w:val="5B9BD5" w:themeColor="accent1"/>
          <w:sz w:val="20"/>
          <w:szCs w:val="20"/>
        </w:rPr>
        <w:t>W</w:t>
      </w:r>
      <w:r w:rsidRPr="004A6AE5">
        <w:rPr>
          <w:rFonts w:ascii="Verdana" w:hAnsi="Verdana" w:cs="Arial"/>
          <w:b/>
          <w:bCs/>
          <w:color w:val="5B9BD5" w:themeColor="accent1"/>
          <w:sz w:val="20"/>
          <w:szCs w:val="20"/>
        </w:rPr>
        <w:t>zrost wartości emisji i nowe debiuty</w:t>
      </w:r>
      <w:r w:rsidRPr="008A411D">
        <w:rPr>
          <w:rFonts w:ascii="Verdana" w:hAnsi="Verdana" w:cs="Arial"/>
          <w:b/>
          <w:bCs/>
          <w:color w:val="5B9BD5" w:themeColor="accent1"/>
          <w:sz w:val="20"/>
          <w:szCs w:val="20"/>
        </w:rPr>
        <w:t xml:space="preserve"> </w:t>
      </w:r>
    </w:p>
    <w:p w14:paraId="74173EE0" w14:textId="77777777" w:rsidR="004A6AE5" w:rsidRDefault="004A6AE5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72150C80" w14:textId="68354937" w:rsidR="00CA328D" w:rsidRP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CA328D">
        <w:rPr>
          <w:rFonts w:ascii="Verdana" w:hAnsi="Verdana" w:cs="Arial"/>
          <w:sz w:val="20"/>
          <w:szCs w:val="20"/>
        </w:rPr>
        <w:t>Na Głównym Rynku GPW w drugim kwartale 2025 r</w:t>
      </w:r>
      <w:r>
        <w:rPr>
          <w:rFonts w:ascii="Verdana" w:hAnsi="Verdana" w:cs="Arial"/>
          <w:sz w:val="20"/>
          <w:szCs w:val="20"/>
        </w:rPr>
        <w:t>oku</w:t>
      </w:r>
      <w:r w:rsidRPr="00CA328D">
        <w:rPr>
          <w:rFonts w:ascii="Verdana" w:hAnsi="Verdana" w:cs="Arial"/>
          <w:sz w:val="20"/>
          <w:szCs w:val="20"/>
        </w:rPr>
        <w:t xml:space="preserve"> zadebiutowały dwie spółki. Producent i dystrybutor specjalistycznej odzieży ochronnej </w:t>
      </w:r>
      <w:proofErr w:type="spellStart"/>
      <w:r w:rsidRPr="00CA328D">
        <w:rPr>
          <w:rFonts w:ascii="Verdana" w:hAnsi="Verdana" w:cs="Arial"/>
          <w:sz w:val="20"/>
          <w:szCs w:val="20"/>
        </w:rPr>
        <w:t>Arlen</w:t>
      </w:r>
      <w:proofErr w:type="spellEnd"/>
      <w:r w:rsidRPr="00CA328D">
        <w:rPr>
          <w:rFonts w:ascii="Verdana" w:hAnsi="Verdana" w:cs="Arial"/>
          <w:sz w:val="20"/>
          <w:szCs w:val="20"/>
        </w:rPr>
        <w:t xml:space="preserve"> dołączył do grona spółek publicznych jako 407. </w:t>
      </w:r>
      <w:r w:rsidR="007E0769">
        <w:rPr>
          <w:rFonts w:ascii="Verdana" w:hAnsi="Verdana" w:cs="Arial"/>
          <w:sz w:val="20"/>
          <w:szCs w:val="20"/>
        </w:rPr>
        <w:t>e</w:t>
      </w:r>
      <w:r w:rsidRPr="00CA328D">
        <w:rPr>
          <w:rFonts w:ascii="Verdana" w:hAnsi="Verdana" w:cs="Arial"/>
          <w:sz w:val="20"/>
          <w:szCs w:val="20"/>
        </w:rPr>
        <w:t>mitent</w:t>
      </w:r>
      <w:r>
        <w:rPr>
          <w:rFonts w:ascii="Verdana" w:hAnsi="Verdana" w:cs="Arial"/>
          <w:sz w:val="20"/>
          <w:szCs w:val="20"/>
        </w:rPr>
        <w:t xml:space="preserve">. </w:t>
      </w:r>
      <w:r w:rsidRPr="00CA328D">
        <w:rPr>
          <w:rFonts w:ascii="Verdana" w:hAnsi="Verdana" w:cs="Arial"/>
          <w:sz w:val="20"/>
          <w:szCs w:val="20"/>
        </w:rPr>
        <w:t xml:space="preserve">Z kolei QNA Technology, rozwijająca technologię kropek kwantowych, stała się 408. spółką notowaną na warszawskim parkiecie, przechodząc </w:t>
      </w:r>
      <w:r w:rsidR="00A613AB">
        <w:rPr>
          <w:rFonts w:ascii="Verdana" w:hAnsi="Verdana" w:cs="Arial"/>
          <w:sz w:val="20"/>
          <w:szCs w:val="20"/>
        </w:rPr>
        <w:t xml:space="preserve">           </w:t>
      </w:r>
      <w:r w:rsidRPr="00CA328D">
        <w:rPr>
          <w:rFonts w:ascii="Verdana" w:hAnsi="Verdana" w:cs="Arial"/>
          <w:sz w:val="20"/>
          <w:szCs w:val="20"/>
        </w:rPr>
        <w:t xml:space="preserve">z rynku </w:t>
      </w:r>
      <w:proofErr w:type="spellStart"/>
      <w:r w:rsidRPr="00CA328D">
        <w:rPr>
          <w:rFonts w:ascii="Verdana" w:hAnsi="Verdana" w:cs="Arial"/>
          <w:sz w:val="20"/>
          <w:szCs w:val="20"/>
        </w:rPr>
        <w:t>NewConnect</w:t>
      </w:r>
      <w:proofErr w:type="spellEnd"/>
      <w:r w:rsidRPr="00CA328D">
        <w:rPr>
          <w:rFonts w:ascii="Verdana" w:hAnsi="Verdana" w:cs="Arial"/>
          <w:sz w:val="20"/>
          <w:szCs w:val="20"/>
        </w:rPr>
        <w:t xml:space="preserve">. </w:t>
      </w:r>
    </w:p>
    <w:p w14:paraId="2C8D7CB1" w14:textId="77777777" w:rsidR="00CA328D" w:rsidRP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4AF5653F" w14:textId="5A5A3199" w:rsidR="00CA328D" w:rsidRP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CA328D">
        <w:rPr>
          <w:rFonts w:ascii="Verdana" w:hAnsi="Verdana" w:cs="Arial"/>
          <w:sz w:val="20"/>
          <w:szCs w:val="20"/>
        </w:rPr>
        <w:t xml:space="preserve">Rynek </w:t>
      </w:r>
      <w:proofErr w:type="spellStart"/>
      <w:r w:rsidRPr="00CA328D">
        <w:rPr>
          <w:rFonts w:ascii="Verdana" w:hAnsi="Verdana" w:cs="Arial"/>
          <w:sz w:val="20"/>
          <w:szCs w:val="20"/>
        </w:rPr>
        <w:t>NewConnect</w:t>
      </w:r>
      <w:proofErr w:type="spellEnd"/>
      <w:r w:rsidRPr="00CA328D">
        <w:rPr>
          <w:rFonts w:ascii="Verdana" w:hAnsi="Verdana" w:cs="Arial"/>
          <w:sz w:val="20"/>
          <w:szCs w:val="20"/>
        </w:rPr>
        <w:t xml:space="preserve"> powiększył się w </w:t>
      </w:r>
      <w:r>
        <w:rPr>
          <w:rFonts w:ascii="Verdana" w:hAnsi="Verdana" w:cs="Arial"/>
          <w:sz w:val="20"/>
          <w:szCs w:val="20"/>
        </w:rPr>
        <w:t xml:space="preserve">minionym kwartale </w:t>
      </w:r>
      <w:r w:rsidRPr="00CA328D">
        <w:rPr>
          <w:rFonts w:ascii="Verdana" w:hAnsi="Verdana" w:cs="Arial"/>
          <w:sz w:val="20"/>
          <w:szCs w:val="20"/>
        </w:rPr>
        <w:t xml:space="preserve">o </w:t>
      </w:r>
      <w:r w:rsidR="001F494C">
        <w:rPr>
          <w:rFonts w:ascii="Verdana" w:hAnsi="Verdana" w:cs="Arial"/>
          <w:sz w:val="20"/>
          <w:szCs w:val="20"/>
        </w:rPr>
        <w:t xml:space="preserve">czterech nowych </w:t>
      </w:r>
      <w:r w:rsidRPr="00CA328D">
        <w:rPr>
          <w:rFonts w:ascii="Verdana" w:hAnsi="Verdana" w:cs="Arial"/>
          <w:sz w:val="20"/>
          <w:szCs w:val="20"/>
        </w:rPr>
        <w:t xml:space="preserve">emitentów. </w:t>
      </w:r>
      <w:r w:rsidR="00A613AB">
        <w:rPr>
          <w:rFonts w:ascii="Verdana" w:hAnsi="Verdana" w:cs="Arial"/>
          <w:sz w:val="20"/>
          <w:szCs w:val="20"/>
        </w:rPr>
        <w:t xml:space="preserve">    </w:t>
      </w:r>
      <w:r w:rsidR="001F494C">
        <w:rPr>
          <w:rFonts w:ascii="Verdana" w:hAnsi="Verdana" w:cs="Arial"/>
          <w:sz w:val="20"/>
          <w:szCs w:val="20"/>
        </w:rPr>
        <w:t xml:space="preserve">W kwietniu zadebiutowało Kolejkowo </w:t>
      </w:r>
      <w:r w:rsidR="001F494C" w:rsidRPr="001F494C">
        <w:rPr>
          <w:rFonts w:ascii="Verdana" w:hAnsi="Verdana" w:cs="Arial"/>
          <w:sz w:val="20"/>
          <w:szCs w:val="20"/>
        </w:rPr>
        <w:t>znan</w:t>
      </w:r>
      <w:r w:rsidR="001F494C">
        <w:rPr>
          <w:rFonts w:ascii="Verdana" w:hAnsi="Verdana" w:cs="Arial"/>
          <w:sz w:val="20"/>
          <w:szCs w:val="20"/>
        </w:rPr>
        <w:t>e</w:t>
      </w:r>
      <w:r w:rsidR="001F494C" w:rsidRPr="001F494C">
        <w:rPr>
          <w:rFonts w:ascii="Verdana" w:hAnsi="Verdana" w:cs="Arial"/>
          <w:sz w:val="20"/>
          <w:szCs w:val="20"/>
        </w:rPr>
        <w:t xml:space="preserve"> z nowoczesnych parków miniatur we Wrocławiu</w:t>
      </w:r>
      <w:r w:rsidR="001F494C">
        <w:rPr>
          <w:rFonts w:ascii="Verdana" w:hAnsi="Verdana" w:cs="Arial"/>
          <w:sz w:val="20"/>
          <w:szCs w:val="20"/>
        </w:rPr>
        <w:t xml:space="preserve">, </w:t>
      </w:r>
      <w:r w:rsidR="001F494C" w:rsidRPr="001F494C">
        <w:rPr>
          <w:rFonts w:ascii="Verdana" w:hAnsi="Verdana" w:cs="Arial"/>
          <w:sz w:val="20"/>
          <w:szCs w:val="20"/>
        </w:rPr>
        <w:t>Gliwicach</w:t>
      </w:r>
      <w:r w:rsidR="001F494C">
        <w:rPr>
          <w:rFonts w:ascii="Verdana" w:hAnsi="Verdana" w:cs="Arial"/>
          <w:sz w:val="20"/>
          <w:szCs w:val="20"/>
        </w:rPr>
        <w:t xml:space="preserve"> i Warszawie. </w:t>
      </w:r>
      <w:r w:rsidRPr="00CA328D">
        <w:rPr>
          <w:rFonts w:ascii="Verdana" w:hAnsi="Verdana" w:cs="Arial"/>
          <w:sz w:val="20"/>
          <w:szCs w:val="20"/>
        </w:rPr>
        <w:t xml:space="preserve">W maju </w:t>
      </w:r>
      <w:r w:rsidR="001F494C">
        <w:rPr>
          <w:rFonts w:ascii="Verdana" w:hAnsi="Verdana" w:cs="Arial"/>
          <w:sz w:val="20"/>
          <w:szCs w:val="20"/>
        </w:rPr>
        <w:t xml:space="preserve">na rynek NC weszła spółka </w:t>
      </w:r>
      <w:r w:rsidRPr="00CA328D">
        <w:rPr>
          <w:rFonts w:ascii="Verdana" w:hAnsi="Verdana" w:cs="Arial"/>
          <w:sz w:val="20"/>
          <w:szCs w:val="20"/>
        </w:rPr>
        <w:t>MAZOP Group, specjalizująca się w produkcji opakowań dla e-commerce</w:t>
      </w:r>
      <w:r>
        <w:rPr>
          <w:rFonts w:ascii="Verdana" w:hAnsi="Verdana" w:cs="Arial"/>
          <w:sz w:val="20"/>
          <w:szCs w:val="20"/>
        </w:rPr>
        <w:t xml:space="preserve">. </w:t>
      </w:r>
      <w:r w:rsidRPr="00CA328D">
        <w:rPr>
          <w:rFonts w:ascii="Verdana" w:hAnsi="Verdana" w:cs="Arial"/>
          <w:sz w:val="20"/>
          <w:szCs w:val="20"/>
        </w:rPr>
        <w:t xml:space="preserve">W czerwcu do grona spółek dołączyły President Studio z sektora </w:t>
      </w:r>
      <w:proofErr w:type="spellStart"/>
      <w:r w:rsidRPr="00CA328D">
        <w:rPr>
          <w:rFonts w:ascii="Verdana" w:hAnsi="Verdana" w:cs="Arial"/>
          <w:sz w:val="20"/>
          <w:szCs w:val="20"/>
        </w:rPr>
        <w:t>gamingowego</w:t>
      </w:r>
      <w:proofErr w:type="spellEnd"/>
      <w:r w:rsidRPr="00CA328D">
        <w:rPr>
          <w:rFonts w:ascii="Verdana" w:hAnsi="Verdana" w:cs="Arial"/>
          <w:sz w:val="20"/>
          <w:szCs w:val="20"/>
        </w:rPr>
        <w:t xml:space="preserve"> oraz Green </w:t>
      </w:r>
      <w:proofErr w:type="spellStart"/>
      <w:r w:rsidRPr="00CA328D">
        <w:rPr>
          <w:rFonts w:ascii="Verdana" w:hAnsi="Verdana" w:cs="Arial"/>
          <w:sz w:val="20"/>
          <w:szCs w:val="20"/>
        </w:rPr>
        <w:t>Lanes</w:t>
      </w:r>
      <w:proofErr w:type="spellEnd"/>
      <w:r w:rsidRPr="00CA328D">
        <w:rPr>
          <w:rFonts w:ascii="Verdana" w:hAnsi="Verdana" w:cs="Arial"/>
          <w:sz w:val="20"/>
          <w:szCs w:val="20"/>
        </w:rPr>
        <w:t>, producent materiałów dla branży meblarskiej i drzewnej.</w:t>
      </w:r>
    </w:p>
    <w:p w14:paraId="4339FEA6" w14:textId="77777777" w:rsidR="00CA328D" w:rsidRP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072EFE69" w14:textId="0781E93A" w:rsid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CA328D">
        <w:rPr>
          <w:rFonts w:ascii="Verdana" w:hAnsi="Verdana" w:cs="Arial"/>
          <w:sz w:val="20"/>
          <w:szCs w:val="20"/>
        </w:rPr>
        <w:t xml:space="preserve">Na rynku </w:t>
      </w:r>
      <w:proofErr w:type="spellStart"/>
      <w:r w:rsidRPr="00CA328D">
        <w:rPr>
          <w:rFonts w:ascii="Verdana" w:hAnsi="Verdana" w:cs="Arial"/>
          <w:sz w:val="20"/>
          <w:szCs w:val="20"/>
        </w:rPr>
        <w:t>Catalyst</w:t>
      </w:r>
      <w:proofErr w:type="spellEnd"/>
      <w:r w:rsidRPr="00CA328D">
        <w:rPr>
          <w:rFonts w:ascii="Verdana" w:hAnsi="Verdana" w:cs="Arial"/>
          <w:sz w:val="20"/>
          <w:szCs w:val="20"/>
        </w:rPr>
        <w:t xml:space="preserve"> utrzymywała się wysoka aktywność nowych emitentów. W </w:t>
      </w:r>
      <w:r>
        <w:rPr>
          <w:rFonts w:ascii="Verdana" w:hAnsi="Verdana" w:cs="Arial"/>
          <w:sz w:val="20"/>
          <w:szCs w:val="20"/>
        </w:rPr>
        <w:t xml:space="preserve">drugim </w:t>
      </w:r>
      <w:r w:rsidRPr="00CA328D">
        <w:rPr>
          <w:rFonts w:ascii="Verdana" w:hAnsi="Verdana" w:cs="Arial"/>
          <w:sz w:val="20"/>
          <w:szCs w:val="20"/>
        </w:rPr>
        <w:t xml:space="preserve">kwartale zadebiutowała spółka </w:t>
      </w:r>
      <w:proofErr w:type="spellStart"/>
      <w:r w:rsidRPr="00CA328D">
        <w:rPr>
          <w:rFonts w:ascii="Verdana" w:hAnsi="Verdana" w:cs="Arial"/>
          <w:sz w:val="20"/>
          <w:szCs w:val="20"/>
        </w:rPr>
        <w:t>Interbud</w:t>
      </w:r>
      <w:proofErr w:type="spellEnd"/>
      <w:r w:rsidRPr="00CA328D">
        <w:rPr>
          <w:rFonts w:ascii="Verdana" w:hAnsi="Verdana" w:cs="Arial"/>
          <w:sz w:val="20"/>
          <w:szCs w:val="20"/>
        </w:rPr>
        <w:t>-Lublin z emisją obligacji o wartości 11,</w:t>
      </w:r>
      <w:r>
        <w:rPr>
          <w:rFonts w:ascii="Verdana" w:hAnsi="Verdana" w:cs="Arial"/>
          <w:sz w:val="20"/>
          <w:szCs w:val="20"/>
        </w:rPr>
        <w:t>7</w:t>
      </w:r>
      <w:r w:rsidRPr="00CA328D">
        <w:rPr>
          <w:rFonts w:ascii="Verdana" w:hAnsi="Verdana" w:cs="Arial"/>
          <w:sz w:val="20"/>
          <w:szCs w:val="20"/>
        </w:rPr>
        <w:t xml:space="preserve"> mln zł, </w:t>
      </w:r>
      <w:r w:rsidR="00A613AB">
        <w:rPr>
          <w:rFonts w:ascii="Verdana" w:hAnsi="Verdana" w:cs="Arial"/>
          <w:sz w:val="20"/>
          <w:szCs w:val="20"/>
        </w:rPr>
        <w:t xml:space="preserve">   </w:t>
      </w:r>
      <w:r w:rsidRPr="00CA328D">
        <w:rPr>
          <w:rFonts w:ascii="Verdana" w:hAnsi="Verdana" w:cs="Arial"/>
          <w:sz w:val="20"/>
          <w:szCs w:val="20"/>
        </w:rPr>
        <w:t xml:space="preserve">a także jednostki samorządu terytorialnego: Województwo Mazowieckie (400 mln zł), Gmina Miejska Żory (73,3 mln zł), Miasto Kalisz (70 mln zł), Gmina Biała Podlaska </w:t>
      </w:r>
      <w:r w:rsidR="00A613AB">
        <w:rPr>
          <w:rFonts w:ascii="Verdana" w:hAnsi="Verdana" w:cs="Arial"/>
          <w:sz w:val="20"/>
          <w:szCs w:val="20"/>
        </w:rPr>
        <w:t xml:space="preserve">        </w:t>
      </w:r>
      <w:r w:rsidRPr="00CA328D">
        <w:rPr>
          <w:rFonts w:ascii="Verdana" w:hAnsi="Verdana" w:cs="Arial"/>
          <w:sz w:val="20"/>
          <w:szCs w:val="20"/>
        </w:rPr>
        <w:t>(32,4 mln zł), Gmina Prażmów (15 mln zł) oraz Miasto Krasnystaw (10 mln zł). Do grona debiutantów dołączyła również spółka 7R, która uplasowała zielone obligacje o wartości 150 mln zł.</w:t>
      </w:r>
    </w:p>
    <w:p w14:paraId="10BEC296" w14:textId="77777777" w:rsidR="00CA328D" w:rsidRDefault="00CA328D" w:rsidP="00CA328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3EC16B6B" w14:textId="2D6C8178" w:rsidR="003A7327" w:rsidRDefault="003A7327" w:rsidP="003A7327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7E0769">
        <w:rPr>
          <w:rFonts w:ascii="Verdana" w:hAnsi="Verdana" w:cs="Arial"/>
          <w:sz w:val="20"/>
          <w:szCs w:val="20"/>
        </w:rPr>
        <w:t xml:space="preserve">W pierwszym półroczu </w:t>
      </w:r>
      <w:r w:rsidRPr="00B12293">
        <w:rPr>
          <w:rFonts w:ascii="Verdana" w:hAnsi="Verdana" w:cs="Arial"/>
          <w:sz w:val="20"/>
          <w:szCs w:val="20"/>
        </w:rPr>
        <w:t xml:space="preserve">2025 roku wartość rynku Equity Capital Market </w:t>
      </w:r>
      <w:r w:rsidR="00200BCF" w:rsidRPr="00B12293">
        <w:rPr>
          <w:rFonts w:ascii="Verdana" w:hAnsi="Verdana" w:cs="Arial"/>
          <w:sz w:val="20"/>
          <w:szCs w:val="20"/>
        </w:rPr>
        <w:t xml:space="preserve">(transakcje IPO, SPO oraz ABB) </w:t>
      </w:r>
      <w:r w:rsidRPr="00B12293">
        <w:rPr>
          <w:rFonts w:ascii="Verdana" w:hAnsi="Verdana" w:cs="Arial"/>
          <w:sz w:val="20"/>
          <w:szCs w:val="20"/>
        </w:rPr>
        <w:t xml:space="preserve">wyniosła 10,9 mld zł, </w:t>
      </w:r>
      <w:r w:rsidRPr="00EA420C">
        <w:rPr>
          <w:rFonts w:ascii="Verdana" w:hAnsi="Verdana" w:cs="Arial"/>
          <w:sz w:val="20"/>
          <w:szCs w:val="20"/>
        </w:rPr>
        <w:t>co oznacza trzykrotny wzrost w porównaniu z rokiem ubiegłym.</w:t>
      </w:r>
      <w:r w:rsidRPr="00B12293">
        <w:rPr>
          <w:rFonts w:ascii="Verdana" w:hAnsi="Verdana" w:cs="Arial"/>
          <w:sz w:val="20"/>
          <w:szCs w:val="20"/>
        </w:rPr>
        <w:t xml:space="preserve"> Emisje pierwotne</w:t>
      </w:r>
      <w:r w:rsidRPr="007E0769">
        <w:rPr>
          <w:rFonts w:ascii="Verdana" w:hAnsi="Verdana" w:cs="Arial"/>
          <w:sz w:val="20"/>
          <w:szCs w:val="20"/>
        </w:rPr>
        <w:t xml:space="preserve"> (IPO) </w:t>
      </w:r>
      <w:r w:rsidR="00EA420C">
        <w:rPr>
          <w:rFonts w:ascii="Verdana" w:hAnsi="Verdana" w:cs="Arial"/>
          <w:sz w:val="20"/>
          <w:szCs w:val="20"/>
        </w:rPr>
        <w:t xml:space="preserve">Diagnostyki i </w:t>
      </w:r>
      <w:proofErr w:type="spellStart"/>
      <w:r w:rsidR="00EA420C">
        <w:rPr>
          <w:rFonts w:ascii="Verdana" w:hAnsi="Verdana" w:cs="Arial"/>
          <w:sz w:val="20"/>
          <w:szCs w:val="20"/>
        </w:rPr>
        <w:t>Arlenu</w:t>
      </w:r>
      <w:proofErr w:type="spellEnd"/>
      <w:r w:rsidR="00EA420C">
        <w:rPr>
          <w:rFonts w:ascii="Verdana" w:hAnsi="Verdana" w:cs="Arial"/>
          <w:sz w:val="20"/>
          <w:szCs w:val="20"/>
        </w:rPr>
        <w:t xml:space="preserve"> </w:t>
      </w:r>
      <w:r w:rsidRPr="007E0769">
        <w:rPr>
          <w:rFonts w:ascii="Verdana" w:hAnsi="Verdana" w:cs="Arial"/>
          <w:sz w:val="20"/>
          <w:szCs w:val="20"/>
        </w:rPr>
        <w:t xml:space="preserve">o </w:t>
      </w:r>
      <w:r w:rsidR="00EA420C">
        <w:rPr>
          <w:rFonts w:ascii="Verdana" w:hAnsi="Verdana" w:cs="Arial"/>
          <w:sz w:val="20"/>
          <w:szCs w:val="20"/>
        </w:rPr>
        <w:t xml:space="preserve">łącznej </w:t>
      </w:r>
      <w:r w:rsidRPr="007E0769">
        <w:rPr>
          <w:rFonts w:ascii="Verdana" w:hAnsi="Verdana" w:cs="Arial"/>
          <w:sz w:val="20"/>
          <w:szCs w:val="20"/>
        </w:rPr>
        <w:t>wartości 2,0 mld zł</w:t>
      </w:r>
      <w:r w:rsidR="00B12293">
        <w:rPr>
          <w:rFonts w:ascii="Verdana" w:hAnsi="Verdana" w:cs="Arial"/>
          <w:sz w:val="20"/>
          <w:szCs w:val="20"/>
        </w:rPr>
        <w:t xml:space="preserve"> </w:t>
      </w:r>
      <w:r w:rsidRPr="007E0769">
        <w:rPr>
          <w:rFonts w:ascii="Verdana" w:hAnsi="Verdana" w:cs="Arial"/>
          <w:sz w:val="20"/>
          <w:szCs w:val="20"/>
        </w:rPr>
        <w:t>potwierdziły rosnącą aktywność przedsiębiorstw i inwestorów na warszawskim parkiecie.</w:t>
      </w:r>
    </w:p>
    <w:p w14:paraId="5FDBF18A" w14:textId="77777777" w:rsidR="00DD4596" w:rsidRDefault="00DD4596" w:rsidP="003A7327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1D42CF46" w14:textId="77777777" w:rsidR="003A7327" w:rsidRDefault="003A7327" w:rsidP="003A7327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5BC74D4B" w14:textId="0500969F" w:rsidR="008A411D" w:rsidRPr="008A411D" w:rsidRDefault="007650FA" w:rsidP="008A411D">
      <w:pPr>
        <w:shd w:val="clear" w:color="auto" w:fill="FFFFFF"/>
        <w:spacing w:after="0" w:line="22" w:lineRule="atLeast"/>
        <w:jc w:val="both"/>
        <w:rPr>
          <w:rFonts w:ascii="Verdana" w:hAnsi="Verdana" w:cs="Arial"/>
          <w:b/>
          <w:bCs/>
          <w:color w:val="5B9BD5" w:themeColor="accent1"/>
          <w:sz w:val="20"/>
          <w:szCs w:val="20"/>
        </w:rPr>
      </w:pPr>
      <w:r w:rsidRPr="007650FA">
        <w:rPr>
          <w:rFonts w:ascii="Verdana" w:hAnsi="Verdana" w:cs="Arial"/>
          <w:b/>
          <w:bCs/>
          <w:color w:val="5B9BD5" w:themeColor="accent1"/>
          <w:sz w:val="20"/>
          <w:szCs w:val="20"/>
        </w:rPr>
        <w:t>Nowe inicjatywy i rekordy na rynku ETF</w:t>
      </w:r>
    </w:p>
    <w:p w14:paraId="2EEA2437" w14:textId="77777777" w:rsidR="008A411D" w:rsidRDefault="008A411D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237E9DCA" w14:textId="58224174" w:rsidR="00C9029A" w:rsidRDefault="007E0769" w:rsidP="00C9029A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7E0769">
        <w:rPr>
          <w:rFonts w:ascii="Verdana" w:hAnsi="Verdana" w:cs="Arial"/>
          <w:sz w:val="20"/>
          <w:szCs w:val="20"/>
        </w:rPr>
        <w:t xml:space="preserve">W maju na rynek </w:t>
      </w:r>
      <w:proofErr w:type="spellStart"/>
      <w:r w:rsidRPr="007E0769">
        <w:rPr>
          <w:rFonts w:ascii="Verdana" w:hAnsi="Verdana" w:cs="Arial"/>
          <w:sz w:val="20"/>
          <w:szCs w:val="20"/>
        </w:rPr>
        <w:t>GlobalConnect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 wprowadzone zostały akcje pięciu spółek z Danii i Szwecji: Carlsberg, H&amp;M, Novo Nordisk, </w:t>
      </w:r>
      <w:proofErr w:type="spellStart"/>
      <w:r w:rsidRPr="007E0769">
        <w:rPr>
          <w:rFonts w:ascii="Verdana" w:hAnsi="Verdana" w:cs="Arial"/>
          <w:sz w:val="20"/>
          <w:szCs w:val="20"/>
        </w:rPr>
        <w:t>Vestas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 Wind Systems oraz Volvo. Notowania odbywają się w polskich złotych, co ogranicza koszty przewalutowania i ułatwia inwestorom zawieranie transakcji. Spółki reprezentują kluczowe sektory globalnej gospodarki i są notowane na giełdach </w:t>
      </w:r>
      <w:proofErr w:type="spellStart"/>
      <w:r w:rsidRPr="007E0769">
        <w:rPr>
          <w:rFonts w:ascii="Verdana" w:hAnsi="Verdana" w:cs="Arial"/>
          <w:sz w:val="20"/>
          <w:szCs w:val="20"/>
        </w:rPr>
        <w:t>Nasdaq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 w Kopenhadze oraz Sztokholmie. Łącznie na rynku </w:t>
      </w:r>
      <w:proofErr w:type="spellStart"/>
      <w:r w:rsidRPr="007E0769">
        <w:rPr>
          <w:rFonts w:ascii="Verdana" w:hAnsi="Verdana" w:cs="Arial"/>
          <w:sz w:val="20"/>
          <w:szCs w:val="20"/>
        </w:rPr>
        <w:t>GlobalConnect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 </w:t>
      </w:r>
      <w:r w:rsidR="00A613AB">
        <w:rPr>
          <w:rFonts w:ascii="Verdana" w:hAnsi="Verdana" w:cs="Arial"/>
          <w:sz w:val="20"/>
          <w:szCs w:val="20"/>
        </w:rPr>
        <w:t xml:space="preserve">             </w:t>
      </w:r>
      <w:r w:rsidRPr="007E0769">
        <w:rPr>
          <w:rFonts w:ascii="Verdana" w:hAnsi="Verdana" w:cs="Arial"/>
          <w:sz w:val="20"/>
          <w:szCs w:val="20"/>
        </w:rPr>
        <w:t>w Warszawie notowanych jest już 36 spółek.</w:t>
      </w:r>
    </w:p>
    <w:p w14:paraId="00B665AF" w14:textId="77777777" w:rsidR="007E0769" w:rsidRDefault="007E0769" w:rsidP="00C9029A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1FC8CE35" w14:textId="4FA66F6E" w:rsidR="00C9029A" w:rsidRDefault="007E0769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7E0769">
        <w:rPr>
          <w:rFonts w:ascii="Verdana" w:hAnsi="Verdana" w:cs="Arial"/>
          <w:sz w:val="20"/>
          <w:szCs w:val="20"/>
        </w:rPr>
        <w:t xml:space="preserve">W czerwcu warszawska Giełda zmieniła zasady kwalifikacji akcji do segmentów </w:t>
      </w:r>
      <w:proofErr w:type="spellStart"/>
      <w:r w:rsidRPr="007E0769">
        <w:rPr>
          <w:rFonts w:ascii="Verdana" w:hAnsi="Verdana" w:cs="Arial"/>
          <w:sz w:val="20"/>
          <w:szCs w:val="20"/>
        </w:rPr>
        <w:t>NewConnect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, w szczególności dotyczące warunków przynależności do segmentu NC Focus. To element strategii rewitalizacji rynku </w:t>
      </w:r>
      <w:proofErr w:type="spellStart"/>
      <w:r w:rsidRPr="007E0769">
        <w:rPr>
          <w:rFonts w:ascii="Verdana" w:hAnsi="Verdana" w:cs="Arial"/>
          <w:sz w:val="20"/>
          <w:szCs w:val="20"/>
        </w:rPr>
        <w:t>NewConnect</w:t>
      </w:r>
      <w:proofErr w:type="spellEnd"/>
      <w:r w:rsidRPr="007E0769">
        <w:rPr>
          <w:rFonts w:ascii="Verdana" w:hAnsi="Verdana" w:cs="Arial"/>
          <w:sz w:val="20"/>
          <w:szCs w:val="20"/>
        </w:rPr>
        <w:t>, której celem jest poszerzenie bazy inwestorów i ułatwienie małym oraz średnim przedsiębiorstwom dostępu do kapitału. Pierwsza kwalifikacja według nowych zasad odbędzie się 26 września 2025 r</w:t>
      </w:r>
      <w:r>
        <w:rPr>
          <w:rFonts w:ascii="Verdana" w:hAnsi="Verdana" w:cs="Arial"/>
          <w:sz w:val="20"/>
          <w:szCs w:val="20"/>
        </w:rPr>
        <w:t>oku.</w:t>
      </w:r>
    </w:p>
    <w:p w14:paraId="0BE8FCF0" w14:textId="77777777" w:rsidR="007E0769" w:rsidRDefault="007E0769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4524D94D" w14:textId="6D542F65" w:rsidR="00C8201B" w:rsidRDefault="007E0769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7E0769">
        <w:rPr>
          <w:rFonts w:ascii="Verdana" w:hAnsi="Verdana" w:cs="Arial"/>
          <w:sz w:val="20"/>
          <w:szCs w:val="20"/>
        </w:rPr>
        <w:t>Spółki zakwalifikowane do segmentu NC Focus zyskają określone korzyści, w tym objęcie Programem Wsparcia Pokrycia Analitycznego (PWPA)</w:t>
      </w:r>
      <w:r w:rsidR="00170225">
        <w:rPr>
          <w:rFonts w:ascii="Verdana" w:hAnsi="Verdana" w:cs="Arial"/>
          <w:sz w:val="20"/>
          <w:szCs w:val="20"/>
        </w:rPr>
        <w:t xml:space="preserve"> w formie kwartalnych biuletynów</w:t>
      </w:r>
      <w:r w:rsidRPr="007E0769">
        <w:rPr>
          <w:rFonts w:ascii="Verdana" w:hAnsi="Verdana" w:cs="Arial"/>
          <w:sz w:val="20"/>
          <w:szCs w:val="20"/>
        </w:rPr>
        <w:t>. Piąta edycja programu rozpoczęła się w lipcu 2025 r</w:t>
      </w:r>
      <w:r w:rsidR="007650FA">
        <w:rPr>
          <w:rFonts w:ascii="Verdana" w:hAnsi="Verdana" w:cs="Arial"/>
          <w:sz w:val="20"/>
          <w:szCs w:val="20"/>
        </w:rPr>
        <w:t>oku</w:t>
      </w:r>
      <w:r w:rsidRPr="007E0769">
        <w:rPr>
          <w:rFonts w:ascii="Verdana" w:hAnsi="Verdana" w:cs="Arial"/>
          <w:sz w:val="20"/>
          <w:szCs w:val="20"/>
        </w:rPr>
        <w:t xml:space="preserve"> i obejmuje średniej wielkości, mniej płynne spółki z Głównego Rynku GPW, segmentu NC Focus oraz emitentów obligacji z rynku </w:t>
      </w:r>
      <w:proofErr w:type="spellStart"/>
      <w:r w:rsidRPr="007E0769">
        <w:rPr>
          <w:rFonts w:ascii="Verdana" w:hAnsi="Verdana" w:cs="Arial"/>
          <w:sz w:val="20"/>
          <w:szCs w:val="20"/>
        </w:rPr>
        <w:t>Catalyst</w:t>
      </w:r>
      <w:proofErr w:type="spellEnd"/>
      <w:r w:rsidRPr="007E0769">
        <w:rPr>
          <w:rFonts w:ascii="Verdana" w:hAnsi="Verdana" w:cs="Arial"/>
          <w:sz w:val="20"/>
          <w:szCs w:val="20"/>
        </w:rPr>
        <w:t xml:space="preserve">. Celem PWPA </w:t>
      </w:r>
      <w:r w:rsidR="007650FA">
        <w:rPr>
          <w:rFonts w:ascii="Verdana" w:hAnsi="Verdana" w:cs="Arial"/>
          <w:sz w:val="20"/>
          <w:szCs w:val="20"/>
        </w:rPr>
        <w:t xml:space="preserve">5.0 </w:t>
      </w:r>
      <w:r w:rsidRPr="007E0769">
        <w:rPr>
          <w:rFonts w:ascii="Verdana" w:hAnsi="Verdana" w:cs="Arial"/>
          <w:sz w:val="20"/>
          <w:szCs w:val="20"/>
        </w:rPr>
        <w:t>jest zwiększenie dostępności analiz i wsparcie inwestorów w podejmowaniu świadomych decyzji w oparciu o wiarygodne i niezależne informacje o rynku i emitentach.</w:t>
      </w:r>
    </w:p>
    <w:p w14:paraId="2D35F0D2" w14:textId="77777777" w:rsidR="007E0769" w:rsidRDefault="007E0769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7E9F3B2C" w14:textId="1088651E" w:rsidR="008A411D" w:rsidRDefault="007650FA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7650FA">
        <w:rPr>
          <w:rFonts w:ascii="Verdana" w:hAnsi="Verdana" w:cs="Arial"/>
          <w:sz w:val="20"/>
          <w:szCs w:val="20"/>
        </w:rPr>
        <w:t>Obniżenie opłat od obrotu instrumentami ETF, ETC i ETN dla Członków Giełdy sprzyja zwiększeniu aktywności inwestorów na tym rynku. W kwietniu wartość obrotów ETF-</w:t>
      </w:r>
      <w:proofErr w:type="spellStart"/>
      <w:r w:rsidRPr="007650FA">
        <w:rPr>
          <w:rFonts w:ascii="Verdana" w:hAnsi="Verdana" w:cs="Arial"/>
          <w:sz w:val="20"/>
          <w:szCs w:val="20"/>
        </w:rPr>
        <w:t>ami</w:t>
      </w:r>
      <w:proofErr w:type="spellEnd"/>
      <w:r w:rsidRPr="007650FA">
        <w:rPr>
          <w:rFonts w:ascii="Verdana" w:hAnsi="Verdana" w:cs="Arial"/>
          <w:sz w:val="20"/>
          <w:szCs w:val="20"/>
        </w:rPr>
        <w:t xml:space="preserve"> </w:t>
      </w:r>
      <w:r w:rsidR="00A613AB">
        <w:rPr>
          <w:rFonts w:ascii="Verdana" w:hAnsi="Verdana" w:cs="Arial"/>
          <w:sz w:val="20"/>
          <w:szCs w:val="20"/>
        </w:rPr>
        <w:t xml:space="preserve">   </w:t>
      </w:r>
      <w:r w:rsidRPr="007650FA">
        <w:rPr>
          <w:rFonts w:ascii="Verdana" w:hAnsi="Verdana" w:cs="Arial"/>
          <w:sz w:val="20"/>
          <w:szCs w:val="20"/>
        </w:rPr>
        <w:t xml:space="preserve">i ETC osiągnęła rekordowy poziom 366,0 mln zł, a w całym drugim kwartale wyniosła 793 mln zł, co oznacza wzrost o 147,4% </w:t>
      </w:r>
      <w:proofErr w:type="spellStart"/>
      <w:r w:rsidRPr="007650FA">
        <w:rPr>
          <w:rFonts w:ascii="Verdana" w:hAnsi="Verdana" w:cs="Arial"/>
          <w:sz w:val="20"/>
          <w:szCs w:val="20"/>
        </w:rPr>
        <w:t>rdr</w:t>
      </w:r>
      <w:proofErr w:type="spellEnd"/>
      <w:r w:rsidRPr="007650FA">
        <w:rPr>
          <w:rFonts w:ascii="Verdana" w:hAnsi="Verdana" w:cs="Arial"/>
          <w:sz w:val="20"/>
          <w:szCs w:val="20"/>
        </w:rPr>
        <w:t>.</w:t>
      </w:r>
    </w:p>
    <w:p w14:paraId="10687857" w14:textId="77777777" w:rsidR="007650FA" w:rsidRPr="008A411D" w:rsidRDefault="007650FA" w:rsidP="008A411D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26DFCDCA" w14:textId="0A70606E" w:rsidR="008A411D" w:rsidRPr="008A411D" w:rsidRDefault="008A411D" w:rsidP="008A411D">
      <w:pPr>
        <w:pStyle w:val="NormalnyWeb"/>
        <w:spacing w:before="0" w:beforeAutospacing="0" w:after="0" w:afterAutospacing="0" w:line="22" w:lineRule="atLeast"/>
        <w:jc w:val="both"/>
        <w:rPr>
          <w:rFonts w:ascii="Verdana" w:eastAsiaTheme="minorHAnsi" w:hAnsi="Verdana" w:cs="Arial"/>
          <w:b/>
          <w:bCs/>
          <w:color w:val="5B9BD5" w:themeColor="accent1"/>
          <w:sz w:val="20"/>
          <w:szCs w:val="20"/>
        </w:rPr>
      </w:pPr>
      <w:r w:rsidRPr="008A411D">
        <w:rPr>
          <w:rFonts w:ascii="Verdana" w:eastAsiaTheme="minorHAnsi" w:hAnsi="Verdana" w:cs="Arial"/>
          <w:b/>
          <w:bCs/>
          <w:color w:val="5B9BD5" w:themeColor="accent1"/>
          <w:sz w:val="20"/>
          <w:szCs w:val="20"/>
        </w:rPr>
        <w:t xml:space="preserve">Produkcyjne uruchomienie </w:t>
      </w:r>
      <w:bookmarkStart w:id="2" w:name="_Hlk206283495"/>
      <w:r w:rsidR="004A6AE5">
        <w:rPr>
          <w:rFonts w:ascii="Verdana" w:eastAsiaTheme="minorHAnsi" w:hAnsi="Verdana" w:cs="Arial"/>
          <w:b/>
          <w:bCs/>
          <w:color w:val="5B9BD5" w:themeColor="accent1"/>
          <w:sz w:val="20"/>
          <w:szCs w:val="20"/>
        </w:rPr>
        <w:t xml:space="preserve">GPW WATS </w:t>
      </w:r>
      <w:bookmarkEnd w:id="2"/>
    </w:p>
    <w:p w14:paraId="36D108CF" w14:textId="77777777" w:rsidR="008A411D" w:rsidRDefault="008A411D" w:rsidP="008A411D">
      <w:pPr>
        <w:pStyle w:val="NormalnyWeb"/>
        <w:spacing w:before="0" w:beforeAutospacing="0" w:after="0" w:afterAutospacing="0" w:line="22" w:lineRule="atLeast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</w:p>
    <w:p w14:paraId="1867649F" w14:textId="2FC92E12" w:rsidR="006418AB" w:rsidRDefault="007650FA" w:rsidP="006418AB">
      <w:pPr>
        <w:pStyle w:val="NormalnyWeb"/>
        <w:spacing w:before="0" w:beforeAutospacing="0" w:after="0" w:afterAutospacing="0" w:line="22" w:lineRule="atLeast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  <w:r w:rsidRPr="007650FA">
        <w:rPr>
          <w:rFonts w:ascii="Verdana" w:hAnsi="Verdana" w:cs="Arial"/>
          <w:bCs/>
          <w:color w:val="000000" w:themeColor="text1"/>
          <w:sz w:val="20"/>
          <w:szCs w:val="20"/>
        </w:rPr>
        <w:t xml:space="preserve">Trwają intensywne testy nowego systemu transakcyjnego po stronie GPW oraz Członków Giełdy. Zgodnie z harmonogramem prowadzone są testy </w:t>
      </w:r>
      <w:r w:rsidR="0092772B">
        <w:rPr>
          <w:rFonts w:ascii="Verdana" w:hAnsi="Verdana" w:cs="Arial"/>
          <w:bCs/>
          <w:color w:val="000000" w:themeColor="text1"/>
          <w:sz w:val="20"/>
          <w:szCs w:val="20"/>
        </w:rPr>
        <w:t xml:space="preserve">funkcjonalne, </w:t>
      </w:r>
      <w:r w:rsidRPr="007650FA">
        <w:rPr>
          <w:rFonts w:ascii="Verdana" w:hAnsi="Verdana" w:cs="Arial"/>
          <w:bCs/>
          <w:color w:val="000000" w:themeColor="text1"/>
          <w:sz w:val="20"/>
          <w:szCs w:val="20"/>
        </w:rPr>
        <w:t>bezpieczeństwa</w:t>
      </w:r>
      <w:r w:rsidR="0092772B">
        <w:rPr>
          <w:rFonts w:ascii="Verdana" w:hAnsi="Verdana" w:cs="Arial"/>
          <w:bCs/>
          <w:color w:val="000000" w:themeColor="text1"/>
          <w:sz w:val="20"/>
          <w:szCs w:val="20"/>
        </w:rPr>
        <w:t>, integracyjne</w:t>
      </w:r>
      <w:r w:rsidRPr="007650FA">
        <w:rPr>
          <w:rFonts w:ascii="Verdana" w:hAnsi="Verdana" w:cs="Arial"/>
          <w:bCs/>
          <w:color w:val="000000" w:themeColor="text1"/>
          <w:sz w:val="20"/>
          <w:szCs w:val="20"/>
        </w:rPr>
        <w:t xml:space="preserve">, wydajnościowe i pojemnościowe, a także testy migracji i </w:t>
      </w:r>
      <w:proofErr w:type="spellStart"/>
      <w:r w:rsidRPr="007650FA">
        <w:rPr>
          <w:rFonts w:ascii="Verdana" w:hAnsi="Verdana" w:cs="Arial"/>
          <w:bCs/>
          <w:color w:val="000000" w:themeColor="text1"/>
          <w:sz w:val="20"/>
          <w:szCs w:val="20"/>
        </w:rPr>
        <w:t>rollback</w:t>
      </w:r>
      <w:proofErr w:type="spellEnd"/>
      <w:r w:rsidRPr="007650FA">
        <w:rPr>
          <w:rFonts w:ascii="Verdana" w:hAnsi="Verdana" w:cs="Arial"/>
          <w:bCs/>
          <w:color w:val="000000" w:themeColor="text1"/>
          <w:sz w:val="20"/>
          <w:szCs w:val="20"/>
        </w:rPr>
        <w:t xml:space="preserve">. </w:t>
      </w:r>
      <w:r w:rsidR="00170225">
        <w:rPr>
          <w:rFonts w:ascii="Verdana" w:hAnsi="Verdana" w:cs="Arial"/>
          <w:bCs/>
          <w:color w:val="000000" w:themeColor="text1"/>
          <w:sz w:val="20"/>
          <w:szCs w:val="20"/>
        </w:rPr>
        <w:t xml:space="preserve">Platforma GPW WATS ma zostać wdrożona 10 listopada br. </w:t>
      </w:r>
    </w:p>
    <w:p w14:paraId="26D6A487" w14:textId="77777777" w:rsidR="007650FA" w:rsidRDefault="007650FA" w:rsidP="006418AB">
      <w:pPr>
        <w:pStyle w:val="NormalnyWeb"/>
        <w:spacing w:before="0" w:beforeAutospacing="0" w:after="0" w:afterAutospacing="0" w:line="22" w:lineRule="atLeast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</w:p>
    <w:p w14:paraId="453F538B" w14:textId="5867B11E" w:rsidR="00675AAE" w:rsidRPr="00675AAE" w:rsidRDefault="00675AAE" w:rsidP="00675AAE">
      <w:pPr>
        <w:pStyle w:val="NormalnyWeb"/>
        <w:spacing w:before="0" w:beforeAutospacing="0" w:after="0" w:afterAutospacing="0" w:line="22" w:lineRule="atLeast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  <w:r w:rsidRPr="00675AAE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- 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Prace nad wdrożeniem nowej platformy transakcyjnej GPW WATS </w:t>
      </w:r>
      <w:r w:rsidR="0092772B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p</w:t>
      </w:r>
      <w:r w:rsidR="0092772B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rowadzone są</w:t>
      </w:r>
      <w:r w:rsidR="0092772B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zgodnie z planem. Do końca sierpnia zintegrowany zostanie system na docelowym środowisku </w:t>
      </w:r>
      <w:r w:rsidR="00A613AB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         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z systemami </w:t>
      </w:r>
      <w:proofErr w:type="spellStart"/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okołotransakcyjnymi</w:t>
      </w:r>
      <w:proofErr w:type="spellEnd"/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. </w:t>
      </w:r>
      <w:r w:rsidR="0092772B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Następnie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przeprowadzimy cztery próby generalne</w:t>
      </w:r>
      <w:r w:rsidR="0092772B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wdrożenia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, w tym dwie z obowiązkowym udziałem wszystkich uczestników rynku. We wrześniu zaplanowana jest także weryfikacja dostosowania Członków Giełdy w zakresie funkcjonalnym oraz po stronie GPW. To kluczowe etapy, któr</w:t>
      </w:r>
      <w:r w:rsidR="0092772B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ych wyniki</w:t>
      </w:r>
      <w:r w:rsidR="00510599" w:rsidRP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pozwolą nam na bezpieczne wdrożenie WATS</w:t>
      </w:r>
      <w:r w:rsidR="00510599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</w:t>
      </w:r>
      <w:r w:rsidRPr="00675AAE"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>–</w:t>
      </w:r>
      <w:r>
        <w:rPr>
          <w:rFonts w:ascii="Verdana" w:hAnsi="Verdana" w:cs="Calibri"/>
          <w:i/>
          <w:iCs/>
          <w:color w:val="212121"/>
          <w:sz w:val="20"/>
          <w:szCs w:val="20"/>
          <w:shd w:val="clear" w:color="auto" w:fill="FFFFFF"/>
        </w:rPr>
        <w:t xml:space="preserve"> </w:t>
      </w:r>
      <w:r w:rsidRPr="00675AAE">
        <w:rPr>
          <w:rFonts w:ascii="Verdana" w:hAnsi="Verdana" w:cs="Arial"/>
          <w:bCs/>
          <w:color w:val="000000" w:themeColor="text1"/>
          <w:sz w:val="20"/>
          <w:szCs w:val="20"/>
        </w:rPr>
        <w:t xml:space="preserve">podkreśla Sławomir Panasiuk, Wiceprezes </w:t>
      </w:r>
      <w:r w:rsidR="00510599" w:rsidRPr="00510599">
        <w:rPr>
          <w:rFonts w:ascii="Verdana" w:hAnsi="Verdana" w:cs="Arial"/>
          <w:bCs/>
          <w:color w:val="000000" w:themeColor="text1"/>
          <w:sz w:val="20"/>
          <w:szCs w:val="20"/>
        </w:rPr>
        <w:t>Zarządu Giełdy Papierów Wartościowych w Warszawie</w:t>
      </w:r>
      <w:r w:rsidRPr="00675AAE">
        <w:rPr>
          <w:rFonts w:ascii="Verdana" w:hAnsi="Verdana" w:cs="Arial"/>
          <w:bCs/>
          <w:color w:val="000000" w:themeColor="text1"/>
          <w:sz w:val="20"/>
          <w:szCs w:val="20"/>
        </w:rPr>
        <w:t xml:space="preserve">. </w:t>
      </w:r>
    </w:p>
    <w:p w14:paraId="2974CC58" w14:textId="77777777" w:rsidR="00675AAE" w:rsidRDefault="00675AAE" w:rsidP="00675AAE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37D81825" w14:textId="457C841F" w:rsidR="00F2537B" w:rsidRPr="00675AAE" w:rsidRDefault="00F2537B" w:rsidP="00675AAE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F2537B">
        <w:rPr>
          <w:rFonts w:ascii="Verdana" w:hAnsi="Verdana" w:cs="Arial"/>
          <w:b/>
          <w:bCs/>
          <w:color w:val="5B9BD5" w:themeColor="accent1"/>
          <w:sz w:val="20"/>
          <w:szCs w:val="20"/>
        </w:rPr>
        <w:t>Jedna z najwyższych dywidend w historii GPW</w:t>
      </w:r>
    </w:p>
    <w:p w14:paraId="3541BFB3" w14:textId="77777777" w:rsidR="00F2537B" w:rsidRDefault="00F2537B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3663FEC9" w14:textId="06B85253" w:rsidR="00F2537B" w:rsidRDefault="00F2537B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  <w:r w:rsidRPr="00DC3F4F">
        <w:rPr>
          <w:rFonts w:ascii="Verdana" w:hAnsi="Verdana" w:cs="Arial"/>
          <w:sz w:val="20"/>
          <w:szCs w:val="20"/>
        </w:rPr>
        <w:t xml:space="preserve">W sierpniu warszawska Giełda wypłaciła akcjonariuszom jedną z najwyższych dywidend </w:t>
      </w:r>
      <w:r w:rsidR="00A613AB">
        <w:rPr>
          <w:rFonts w:ascii="Verdana" w:hAnsi="Verdana" w:cs="Arial"/>
          <w:sz w:val="20"/>
          <w:szCs w:val="20"/>
        </w:rPr>
        <w:t xml:space="preserve">   </w:t>
      </w:r>
      <w:r w:rsidRPr="00DC3F4F">
        <w:rPr>
          <w:rFonts w:ascii="Verdana" w:hAnsi="Verdana" w:cs="Arial"/>
          <w:sz w:val="20"/>
          <w:szCs w:val="20"/>
        </w:rPr>
        <w:t xml:space="preserve">w swojej historii. Dywidenda w wysokości 3,15 zł na akcję była o 5% wyższa niż rok wcześniej. Na dzień odcięcia prawa do dywidendy jej stopa wyniosła 5,7%. Łączna wartość wypłaty </w:t>
      </w:r>
      <w:r>
        <w:rPr>
          <w:rFonts w:ascii="Verdana" w:hAnsi="Verdana" w:cs="Arial"/>
          <w:sz w:val="20"/>
          <w:szCs w:val="20"/>
        </w:rPr>
        <w:t xml:space="preserve">wyniosła </w:t>
      </w:r>
      <w:r w:rsidRPr="00DC3F4F">
        <w:rPr>
          <w:rFonts w:ascii="Verdana" w:hAnsi="Verdana" w:cs="Arial"/>
          <w:sz w:val="20"/>
          <w:szCs w:val="20"/>
        </w:rPr>
        <w:t>132</w:t>
      </w:r>
      <w:r>
        <w:rPr>
          <w:rFonts w:ascii="Verdana" w:hAnsi="Verdana" w:cs="Arial"/>
          <w:sz w:val="20"/>
          <w:szCs w:val="20"/>
        </w:rPr>
        <w:t>,2</w:t>
      </w:r>
      <w:r w:rsidRPr="00DC3F4F">
        <w:rPr>
          <w:rFonts w:ascii="Verdana" w:hAnsi="Verdana" w:cs="Arial"/>
          <w:sz w:val="20"/>
          <w:szCs w:val="20"/>
        </w:rPr>
        <w:t xml:space="preserve"> mln zł, co odpowiada blisko 89% skonsolidowanego zysku netto za 2024 r</w:t>
      </w:r>
      <w:r>
        <w:rPr>
          <w:rFonts w:ascii="Verdana" w:hAnsi="Verdana" w:cs="Arial"/>
          <w:sz w:val="20"/>
          <w:szCs w:val="20"/>
        </w:rPr>
        <w:t>ok</w:t>
      </w:r>
      <w:r w:rsidRPr="00DC3F4F">
        <w:rPr>
          <w:rFonts w:ascii="Verdana" w:hAnsi="Verdana" w:cs="Arial"/>
          <w:sz w:val="20"/>
          <w:szCs w:val="20"/>
        </w:rPr>
        <w:t>.</w:t>
      </w:r>
      <w:r w:rsidR="00986F24">
        <w:rPr>
          <w:rFonts w:ascii="Verdana" w:hAnsi="Verdana" w:cs="Arial"/>
          <w:sz w:val="20"/>
          <w:szCs w:val="20"/>
        </w:rPr>
        <w:t xml:space="preserve"> </w:t>
      </w:r>
      <w:r w:rsidR="00986F24" w:rsidRPr="00986F24">
        <w:rPr>
          <w:rFonts w:ascii="Verdana" w:hAnsi="Verdana" w:cs="Arial"/>
          <w:sz w:val="20"/>
          <w:szCs w:val="20"/>
        </w:rPr>
        <w:t>Wypłacie towarzyszył rekordowy kurs akcji GPW</w:t>
      </w:r>
      <w:r w:rsidR="00986F24">
        <w:rPr>
          <w:rFonts w:ascii="Verdana" w:hAnsi="Verdana" w:cs="Arial"/>
          <w:sz w:val="20"/>
          <w:szCs w:val="20"/>
        </w:rPr>
        <w:t xml:space="preserve">. </w:t>
      </w:r>
      <w:r w:rsidR="00986F24" w:rsidRPr="00986F24">
        <w:rPr>
          <w:rFonts w:ascii="Verdana" w:hAnsi="Verdana" w:cs="Arial"/>
          <w:sz w:val="20"/>
          <w:szCs w:val="20"/>
        </w:rPr>
        <w:t>11 sierpnia 2025 roku</w:t>
      </w:r>
      <w:r w:rsidR="001F494C">
        <w:rPr>
          <w:rFonts w:ascii="Verdana" w:hAnsi="Verdana" w:cs="Arial"/>
          <w:sz w:val="20"/>
          <w:szCs w:val="20"/>
        </w:rPr>
        <w:t xml:space="preserve">, </w:t>
      </w:r>
      <w:r w:rsidR="001F494C" w:rsidRPr="001F494C">
        <w:rPr>
          <w:rFonts w:ascii="Verdana" w:hAnsi="Verdana" w:cs="Arial"/>
          <w:sz w:val="20"/>
          <w:szCs w:val="20"/>
        </w:rPr>
        <w:t>już po odcięciu prawa do dywidendy</w:t>
      </w:r>
      <w:r w:rsidR="001F494C">
        <w:rPr>
          <w:rFonts w:ascii="Verdana" w:hAnsi="Verdana" w:cs="Arial"/>
          <w:sz w:val="20"/>
          <w:szCs w:val="20"/>
        </w:rPr>
        <w:t>,</w:t>
      </w:r>
      <w:r w:rsidR="00986F24" w:rsidRPr="00986F24">
        <w:rPr>
          <w:rFonts w:ascii="Verdana" w:hAnsi="Verdana" w:cs="Arial"/>
          <w:sz w:val="20"/>
          <w:szCs w:val="20"/>
        </w:rPr>
        <w:t xml:space="preserve"> </w:t>
      </w:r>
      <w:r w:rsidR="00986F24">
        <w:rPr>
          <w:rFonts w:ascii="Verdana" w:hAnsi="Verdana" w:cs="Arial"/>
          <w:sz w:val="20"/>
          <w:szCs w:val="20"/>
        </w:rPr>
        <w:t xml:space="preserve">akcje GPW osiągnęły </w:t>
      </w:r>
      <w:r w:rsidR="009D424D">
        <w:rPr>
          <w:rFonts w:ascii="Verdana" w:hAnsi="Verdana" w:cs="Arial"/>
          <w:sz w:val="20"/>
          <w:szCs w:val="20"/>
        </w:rPr>
        <w:t xml:space="preserve">w </w:t>
      </w:r>
      <w:r w:rsidR="001F494C">
        <w:rPr>
          <w:rFonts w:ascii="Verdana" w:hAnsi="Verdana" w:cs="Arial"/>
          <w:sz w:val="20"/>
          <w:szCs w:val="20"/>
        </w:rPr>
        <w:t xml:space="preserve">na koniec notowań rekordowy poziom </w:t>
      </w:r>
      <w:r w:rsidR="00986F24" w:rsidRPr="00986F24">
        <w:rPr>
          <w:rFonts w:ascii="Verdana" w:hAnsi="Verdana" w:cs="Arial"/>
          <w:sz w:val="20"/>
          <w:szCs w:val="20"/>
        </w:rPr>
        <w:t>5</w:t>
      </w:r>
      <w:r w:rsidR="001F494C">
        <w:rPr>
          <w:rFonts w:ascii="Verdana" w:hAnsi="Verdana" w:cs="Arial"/>
          <w:sz w:val="20"/>
          <w:szCs w:val="20"/>
        </w:rPr>
        <w:t xml:space="preserve">8,0 </w:t>
      </w:r>
      <w:r w:rsidR="00986F24" w:rsidRPr="00986F24">
        <w:rPr>
          <w:rFonts w:ascii="Verdana" w:hAnsi="Verdana" w:cs="Arial"/>
          <w:sz w:val="20"/>
          <w:szCs w:val="20"/>
        </w:rPr>
        <w:t>zł.</w:t>
      </w:r>
    </w:p>
    <w:p w14:paraId="57769EDE" w14:textId="77777777" w:rsidR="00510599" w:rsidRDefault="00510599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26BE56CD" w14:textId="77777777" w:rsidR="00E32439" w:rsidRDefault="00E32439" w:rsidP="00F2537B">
      <w:pPr>
        <w:spacing w:after="0" w:line="22" w:lineRule="atLeast"/>
        <w:jc w:val="both"/>
        <w:rPr>
          <w:rFonts w:ascii="Verdana" w:hAnsi="Verdana" w:cs="Arial"/>
          <w:sz w:val="20"/>
          <w:szCs w:val="20"/>
        </w:rPr>
      </w:pPr>
    </w:p>
    <w:p w14:paraId="470C6CA9" w14:textId="713F371E" w:rsidR="00055BB4" w:rsidRDefault="00055BB4" w:rsidP="00200EC3">
      <w:pPr>
        <w:spacing w:after="0" w:line="22" w:lineRule="atLeast"/>
        <w:jc w:val="center"/>
        <w:rPr>
          <w:rFonts w:ascii="Verdana" w:hAnsi="Verdana" w:cs="Arial"/>
          <w:sz w:val="16"/>
          <w:szCs w:val="16"/>
        </w:rPr>
      </w:pPr>
      <w:r w:rsidRPr="00A97A5F">
        <w:rPr>
          <w:rFonts w:ascii="Verdana" w:hAnsi="Verdana" w:cs="Arial"/>
          <w:sz w:val="16"/>
          <w:szCs w:val="16"/>
        </w:rPr>
        <w:lastRenderedPageBreak/>
        <w:t>***</w:t>
      </w:r>
    </w:p>
    <w:p w14:paraId="2539D560" w14:textId="77777777" w:rsidR="00544BF0" w:rsidRDefault="00544BF0" w:rsidP="00200EC3">
      <w:pPr>
        <w:spacing w:after="0" w:line="22" w:lineRule="atLeast"/>
        <w:jc w:val="center"/>
        <w:rPr>
          <w:rFonts w:ascii="Verdana" w:hAnsi="Verdana" w:cs="Arial"/>
          <w:sz w:val="16"/>
          <w:szCs w:val="16"/>
        </w:rPr>
      </w:pPr>
    </w:p>
    <w:p w14:paraId="07DC948A" w14:textId="77777777" w:rsidR="00E32439" w:rsidRDefault="00E32439" w:rsidP="00200EC3">
      <w:pPr>
        <w:spacing w:after="0" w:line="22" w:lineRule="atLeast"/>
        <w:jc w:val="center"/>
        <w:rPr>
          <w:rFonts w:ascii="Verdana" w:hAnsi="Verdana" w:cs="Arial"/>
          <w:sz w:val="16"/>
          <w:szCs w:val="16"/>
        </w:rPr>
      </w:pPr>
    </w:p>
    <w:p w14:paraId="5A47388D" w14:textId="77777777" w:rsidR="00E32439" w:rsidRPr="00CF7CF2" w:rsidRDefault="00E32439" w:rsidP="00200EC3">
      <w:pPr>
        <w:spacing w:after="0" w:line="22" w:lineRule="atLeast"/>
        <w:jc w:val="center"/>
        <w:rPr>
          <w:rFonts w:ascii="Verdana" w:hAnsi="Verdana" w:cs="Arial"/>
          <w:sz w:val="16"/>
          <w:szCs w:val="16"/>
        </w:rPr>
      </w:pPr>
    </w:p>
    <w:p w14:paraId="14BDC1C0" w14:textId="77777777" w:rsidR="00913439" w:rsidRDefault="00913439" w:rsidP="00200EC3">
      <w:pPr>
        <w:spacing w:after="0" w:line="22" w:lineRule="atLeast"/>
        <w:jc w:val="both"/>
        <w:rPr>
          <w:rFonts w:ascii="Arial" w:eastAsia="Calibri" w:hAnsi="Arial" w:cs="Arial"/>
          <w:b/>
          <w:color w:val="666666"/>
          <w:sz w:val="14"/>
          <w:szCs w:val="16"/>
          <w:lang w:eastAsia="pl-PL"/>
        </w:rPr>
      </w:pPr>
    </w:p>
    <w:p w14:paraId="6FBB31E1" w14:textId="52968566" w:rsidR="001C0347" w:rsidRPr="00544BF0" w:rsidRDefault="00AA4454" w:rsidP="00200EC3">
      <w:pPr>
        <w:spacing w:after="0" w:line="22" w:lineRule="atLeast"/>
        <w:jc w:val="both"/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sectPr w:rsidR="001C0347" w:rsidRPr="00544BF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A4454">
        <w:rPr>
          <w:rFonts w:ascii="Arial" w:eastAsia="Calibri" w:hAnsi="Arial" w:cs="Arial"/>
          <w:b/>
          <w:color w:val="666666"/>
          <w:sz w:val="14"/>
          <w:szCs w:val="16"/>
          <w:lang w:eastAsia="pl-PL"/>
        </w:rPr>
        <w:t>Grupa Kapitałowa GPW (GK GPW</w:t>
      </w:r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), to wiodący operator infrastruktury rynku kapitałowego i towarowego w Europie Środkowo-Wschodniej. W skład Grupy wchodzą m.in. Giełda Papierów Wartościowych w Warszawie (GPW), Towarowa Giełda Energii (TGE), GPW Benchmark oraz BondSpot. GPW prowadzi regulowane rynki akcji, instrumentów dłużnych, instrumentów pochodnych i towarów, a także alternatywny system obrotu </w:t>
      </w:r>
      <w:proofErr w:type="spellStart"/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>NewConnect</w:t>
      </w:r>
      <w:proofErr w:type="spellEnd"/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. Oferuje usługi w zakresie obrotu, rozliczeń, dostarczania danych rynkowych, indeksów oraz benchmarków referencyjnych. GPW jest spółką publiczną notowaną na własnym parkiecie od 2010 roku. Jej misją jest wspieranie rozwoju gospodarki, zapewnianie efektywnego i bezpiecznego dostępu do kapitału oraz promowanie długoterminowego inwestowania. W 2025 roku główne indeksy warszawskiej Giełdy znajdują się wśród najlepszych na świecie, notując wzrosty przekraczające </w:t>
      </w:r>
      <w:r w:rsidR="00A613AB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>35</w:t>
      </w:r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>% od początku roku. Więcej informacji na</w:t>
      </w:r>
      <w:r w:rsidR="00544BF0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>:</w:t>
      </w:r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 </w:t>
      </w:r>
      <w:hyperlink r:id="rId11" w:history="1">
        <w:r w:rsidR="00544BF0" w:rsidRPr="00B54E46">
          <w:rPr>
            <w:rStyle w:val="Hipercze"/>
            <w:rFonts w:ascii="Arial" w:eastAsia="Calibri" w:hAnsi="Arial" w:cs="Arial"/>
            <w:bCs/>
            <w:sz w:val="14"/>
            <w:szCs w:val="16"/>
            <w:lang w:eastAsia="pl-PL"/>
          </w:rPr>
          <w:t>www.gpw.pl</w:t>
        </w:r>
      </w:hyperlink>
      <w:r w:rsidR="00544BF0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 </w:t>
      </w:r>
      <w:r w:rsidRPr="00AA4454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  </w:t>
      </w:r>
      <w:r w:rsidR="00544BF0">
        <w:rPr>
          <w:rFonts w:ascii="Arial" w:eastAsia="Calibri" w:hAnsi="Arial" w:cs="Arial"/>
          <w:bCs/>
          <w:color w:val="666666"/>
          <w:sz w:val="14"/>
          <w:szCs w:val="16"/>
          <w:lang w:eastAsia="pl-PL"/>
        </w:rPr>
        <w:t xml:space="preserve"> </w:t>
      </w:r>
    </w:p>
    <w:p w14:paraId="40854B6E" w14:textId="5E91564D" w:rsidR="00E56B60" w:rsidRDefault="00E56B60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</w:pPr>
    </w:p>
    <w:p w14:paraId="5DC9EF8E" w14:textId="77777777" w:rsidR="00A82C90" w:rsidRPr="00AA1638" w:rsidRDefault="00A82C90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</w:pPr>
    </w:p>
    <w:p w14:paraId="269D7DFD" w14:textId="091688A8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>Kontakt dla mediów:</w:t>
      </w:r>
    </w:p>
    <w:p w14:paraId="145FA921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000000" w:themeColor="text1"/>
          <w:sz w:val="20"/>
          <w:szCs w:val="20"/>
        </w:rPr>
      </w:pPr>
    </w:p>
    <w:p w14:paraId="02F72110" w14:textId="77777777" w:rsidR="00A82C90" w:rsidRPr="00AA1638" w:rsidRDefault="00A82C90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000000" w:themeColor="text1"/>
          <w:sz w:val="20"/>
          <w:szCs w:val="20"/>
        </w:rPr>
        <w:sectPr w:rsidR="00A82C90" w:rsidRPr="00AA1638" w:rsidSect="0040532B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BC2798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Paulina Szkoła</w:t>
      </w:r>
    </w:p>
    <w:p w14:paraId="1647E8B0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Dział Komunikacji i Marketingu GPW </w:t>
      </w:r>
    </w:p>
    <w:p w14:paraId="5FB652B8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tel. +48 723 133 537 </w:t>
      </w:r>
    </w:p>
    <w:p w14:paraId="7090522E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000000" w:themeColor="text1"/>
          <w:sz w:val="20"/>
          <w:szCs w:val="20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press@gpw.pl  </w:t>
      </w:r>
    </w:p>
    <w:p w14:paraId="6BAD99C8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Zuzanna Brus </w:t>
      </w:r>
    </w:p>
    <w:p w14:paraId="7DF17D39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Dział Komunikacji i Marketingu GPW </w:t>
      </w:r>
    </w:p>
    <w:p w14:paraId="345DDF61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tel. </w:t>
      </w:r>
      <w:bookmarkStart w:id="3" w:name="_Hlk168300495"/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+48 </w:t>
      </w:r>
      <w:bookmarkEnd w:id="3"/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885 770 723</w:t>
      </w:r>
    </w:p>
    <w:p w14:paraId="104F66D4" w14:textId="77777777" w:rsidR="0040532B" w:rsidRPr="00AA1638" w:rsidRDefault="00000000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000000" w:themeColor="text1"/>
          <w:sz w:val="20"/>
          <w:szCs w:val="20"/>
        </w:rPr>
        <w:sectPr w:rsidR="0040532B" w:rsidRPr="00AA1638" w:rsidSect="0040532B">
          <w:type w:val="continuous"/>
          <w:pgSz w:w="11906" w:h="16838"/>
          <w:pgMar w:top="1417" w:right="1417" w:bottom="1417" w:left="1417" w:header="708" w:footer="708" w:gutter="0"/>
          <w:cols w:num="2" w:space="284"/>
          <w:docGrid w:linePitch="360"/>
        </w:sectPr>
      </w:pPr>
      <w:hyperlink r:id="rId14" w:history="1">
        <w:r w:rsidR="0040532B" w:rsidRPr="00AA1638">
          <w:rPr>
            <w:rStyle w:val="Hipercze"/>
            <w:rFonts w:ascii="Verdana" w:hAnsi="Verdana" w:cs="Arial"/>
            <w:color w:val="000000" w:themeColor="text1"/>
            <w:sz w:val="20"/>
            <w:szCs w:val="20"/>
            <w:u w:val="none"/>
          </w:rPr>
          <w:t>press@gpw.pl</w:t>
        </w:r>
      </w:hyperlink>
    </w:p>
    <w:p w14:paraId="51289DA5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</w:p>
    <w:p w14:paraId="1E34997C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Robert Stankiewicz </w:t>
      </w:r>
    </w:p>
    <w:p w14:paraId="62F0FC04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000000" w:themeColor="text1"/>
          <w:sz w:val="20"/>
          <w:szCs w:val="20"/>
        </w:rPr>
      </w:pPr>
    </w:p>
    <w:p w14:paraId="52011AB7" w14:textId="77777777" w:rsidR="0040532B" w:rsidRPr="00AA1638" w:rsidRDefault="0040532B" w:rsidP="00200EC3">
      <w:pPr>
        <w:spacing w:after="0" w:line="22" w:lineRule="atLeast"/>
        <w:jc w:val="both"/>
        <w:rPr>
          <w:rFonts w:ascii="Verdana" w:hAnsi="Verdana" w:cs="Arial"/>
          <w:color w:val="000000" w:themeColor="text1"/>
          <w:sz w:val="20"/>
          <w:szCs w:val="20"/>
        </w:rPr>
        <w:sectPr w:rsidR="0040532B" w:rsidRPr="00AA1638" w:rsidSect="0040532B">
          <w:headerReference w:type="default" r:id="rId15"/>
          <w:foot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284"/>
          <w:docGrid w:linePitch="360"/>
        </w:sectPr>
      </w:pPr>
    </w:p>
    <w:p w14:paraId="0F6AC297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 xml:space="preserve">Dyrektor Działu Komunikacji i Marketingu GPW </w:t>
      </w:r>
    </w:p>
    <w:p w14:paraId="0DB7C1BF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  <w:r w:rsidRPr="00AA1638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  <w:t>tel. +48 885 770 976</w:t>
      </w:r>
    </w:p>
    <w:p w14:paraId="5D907A47" w14:textId="77777777" w:rsidR="0040532B" w:rsidRPr="00AA1638" w:rsidRDefault="00000000" w:rsidP="00200EC3">
      <w:pPr>
        <w:tabs>
          <w:tab w:val="left" w:pos="2520"/>
        </w:tabs>
        <w:spacing w:after="0" w:line="22" w:lineRule="atLeast"/>
        <w:rPr>
          <w:rStyle w:val="Hipercze"/>
          <w:rFonts w:ascii="Verdana" w:hAnsi="Verdana" w:cs="Arial"/>
          <w:color w:val="000000" w:themeColor="text1"/>
          <w:sz w:val="20"/>
          <w:szCs w:val="20"/>
          <w:u w:val="none"/>
        </w:rPr>
      </w:pPr>
      <w:hyperlink r:id="rId17" w:history="1">
        <w:r w:rsidR="0040532B" w:rsidRPr="00AA1638">
          <w:rPr>
            <w:rStyle w:val="Hipercze"/>
            <w:rFonts w:ascii="Verdana" w:hAnsi="Verdana" w:cs="Arial"/>
            <w:color w:val="000000" w:themeColor="text1"/>
            <w:sz w:val="20"/>
            <w:szCs w:val="20"/>
            <w:u w:val="none"/>
          </w:rPr>
          <w:t>robert.stankiewicz@gpw.pl</w:t>
        </w:r>
      </w:hyperlink>
    </w:p>
    <w:p w14:paraId="0AAFD0FC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pl-PL"/>
        </w:rPr>
      </w:pPr>
    </w:p>
    <w:p w14:paraId="44E3CF05" w14:textId="77777777" w:rsidR="0040532B" w:rsidRPr="00AA1638" w:rsidRDefault="0040532B" w:rsidP="00200EC3">
      <w:pPr>
        <w:tabs>
          <w:tab w:val="left" w:pos="2520"/>
        </w:tabs>
        <w:spacing w:after="0" w:line="22" w:lineRule="atLeast"/>
        <w:rPr>
          <w:rFonts w:ascii="Verdana" w:hAnsi="Verdana" w:cs="Arial"/>
          <w:color w:val="595959" w:themeColor="text1" w:themeTint="A6"/>
          <w:sz w:val="20"/>
          <w:szCs w:val="20"/>
        </w:rPr>
      </w:pPr>
    </w:p>
    <w:sectPr w:rsidR="0040532B" w:rsidRPr="00AA1638" w:rsidSect="00DB106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8278D" w14:textId="77777777" w:rsidR="00BC3200" w:rsidRDefault="00BC3200" w:rsidP="00B84A59">
      <w:pPr>
        <w:spacing w:after="0" w:line="240" w:lineRule="auto"/>
      </w:pPr>
      <w:r>
        <w:separator/>
      </w:r>
    </w:p>
  </w:endnote>
  <w:endnote w:type="continuationSeparator" w:id="0">
    <w:p w14:paraId="46681F76" w14:textId="77777777" w:rsidR="00BC3200" w:rsidRDefault="00BC3200" w:rsidP="00B8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3797005"/>
      <w:docPartObj>
        <w:docPartGallery w:val="Page Numbers (Bottom of Page)"/>
        <w:docPartUnique/>
      </w:docPartObj>
    </w:sdtPr>
    <w:sdtContent>
      <w:p w14:paraId="54ADDF8D" w14:textId="77777777" w:rsidR="00247869" w:rsidRDefault="00247869">
        <w:pPr>
          <w:pStyle w:val="Stopka"/>
          <w:jc w:val="right"/>
        </w:pPr>
        <w:r w:rsidRPr="002971F5">
          <w:rPr>
            <w:sz w:val="16"/>
            <w:szCs w:val="16"/>
          </w:rPr>
          <w:fldChar w:fldCharType="begin"/>
        </w:r>
        <w:r w:rsidRPr="002971F5">
          <w:rPr>
            <w:sz w:val="16"/>
            <w:szCs w:val="16"/>
          </w:rPr>
          <w:instrText>PAGE   \* MERGEFORMAT</w:instrText>
        </w:r>
        <w:r w:rsidRPr="002971F5">
          <w:rPr>
            <w:sz w:val="16"/>
            <w:szCs w:val="16"/>
          </w:rPr>
          <w:fldChar w:fldCharType="separate"/>
        </w:r>
        <w:r w:rsidR="009F7B68" w:rsidRPr="002971F5">
          <w:rPr>
            <w:noProof/>
            <w:sz w:val="16"/>
            <w:szCs w:val="16"/>
          </w:rPr>
          <w:t>5</w:t>
        </w:r>
        <w:r w:rsidRPr="002971F5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78644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2F6249A" w14:textId="77777777" w:rsidR="0040532B" w:rsidRPr="006A106C" w:rsidRDefault="0040532B">
        <w:pPr>
          <w:pStyle w:val="Stopka"/>
          <w:jc w:val="right"/>
          <w:rPr>
            <w:sz w:val="16"/>
            <w:szCs w:val="16"/>
          </w:rPr>
        </w:pPr>
        <w:r w:rsidRPr="006A106C">
          <w:rPr>
            <w:sz w:val="16"/>
            <w:szCs w:val="16"/>
          </w:rPr>
          <w:fldChar w:fldCharType="begin"/>
        </w:r>
        <w:r w:rsidRPr="006A106C">
          <w:rPr>
            <w:sz w:val="16"/>
            <w:szCs w:val="16"/>
          </w:rPr>
          <w:instrText>PAGE   \* MERGEFORMAT</w:instrText>
        </w:r>
        <w:r w:rsidRPr="006A106C">
          <w:rPr>
            <w:sz w:val="16"/>
            <w:szCs w:val="16"/>
          </w:rPr>
          <w:fldChar w:fldCharType="separate"/>
        </w:r>
        <w:r w:rsidRPr="006A106C">
          <w:rPr>
            <w:sz w:val="16"/>
            <w:szCs w:val="16"/>
          </w:rPr>
          <w:t>2</w:t>
        </w:r>
        <w:r w:rsidRPr="006A106C">
          <w:rPr>
            <w:sz w:val="16"/>
            <w:szCs w:val="16"/>
          </w:rPr>
          <w:fldChar w:fldCharType="end"/>
        </w:r>
      </w:p>
    </w:sdtContent>
  </w:sdt>
  <w:p w14:paraId="37E6DA4C" w14:textId="77777777" w:rsidR="0040532B" w:rsidRDefault="004053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341757"/>
      <w:docPartObj>
        <w:docPartGallery w:val="Page Numbers (Bottom of Page)"/>
        <w:docPartUnique/>
      </w:docPartObj>
    </w:sdtPr>
    <w:sdtContent>
      <w:p w14:paraId="6D26AAA4" w14:textId="77777777" w:rsidR="0040532B" w:rsidRDefault="004053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2A6DA" w14:textId="77777777" w:rsidR="00BC3200" w:rsidRDefault="00BC3200" w:rsidP="00B84A59">
      <w:pPr>
        <w:spacing w:after="0" w:line="240" w:lineRule="auto"/>
      </w:pPr>
      <w:r>
        <w:separator/>
      </w:r>
    </w:p>
  </w:footnote>
  <w:footnote w:type="continuationSeparator" w:id="0">
    <w:p w14:paraId="5568B425" w14:textId="77777777" w:rsidR="00BC3200" w:rsidRDefault="00BC3200" w:rsidP="00B84A59">
      <w:pPr>
        <w:spacing w:after="0" w:line="240" w:lineRule="auto"/>
      </w:pPr>
      <w:r>
        <w:continuationSeparator/>
      </w:r>
    </w:p>
  </w:footnote>
  <w:footnote w:id="1">
    <w:p w14:paraId="11F7754E" w14:textId="77777777" w:rsidR="00BD1D68" w:rsidRPr="00E21BDD" w:rsidRDefault="00BD1D68" w:rsidP="00BD1D68">
      <w:pPr>
        <w:pStyle w:val="Tekstprzypisudolnego"/>
        <w:rPr>
          <w:sz w:val="18"/>
          <w:szCs w:val="18"/>
        </w:rPr>
      </w:pPr>
      <w:r w:rsidRPr="00E21BDD">
        <w:rPr>
          <w:rStyle w:val="Odwoanieprzypisudolnego"/>
          <w:sz w:val="18"/>
          <w:szCs w:val="18"/>
        </w:rPr>
        <w:footnoteRef/>
      </w:r>
      <w:r w:rsidRPr="00E21BDD">
        <w:rPr>
          <w:sz w:val="18"/>
          <w:szCs w:val="18"/>
        </w:rPr>
        <w:t xml:space="preserve"> Wyniki II kwartału 2024 skorygowane o wpływ zdarzenia jednorazowego o wartości 5,8 mln zł (4,7 mln zł wpływu na wynik netto)</w:t>
      </w:r>
    </w:p>
  </w:footnote>
  <w:footnote w:id="2">
    <w:p w14:paraId="69BCC289" w14:textId="77777777" w:rsidR="00BD1D68" w:rsidRDefault="00BD1D68" w:rsidP="00BD1D6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81A3" w14:textId="12755F7D" w:rsidR="00247869" w:rsidRDefault="001C37F9" w:rsidP="008B08F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F9703" wp14:editId="4883A5FD">
          <wp:simplePos x="0" y="0"/>
          <wp:positionH relativeFrom="margin">
            <wp:align>left</wp:align>
          </wp:positionH>
          <wp:positionV relativeFrom="paragraph">
            <wp:posOffset>-220345</wp:posOffset>
          </wp:positionV>
          <wp:extent cx="1589405" cy="465455"/>
          <wp:effectExtent l="0" t="0" r="0" b="0"/>
          <wp:wrapTopAndBottom/>
          <wp:docPr id="1150470927" name="Obraz 1150470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0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9F1A" w14:textId="77777777" w:rsidR="0040532B" w:rsidRDefault="0040532B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D9BC6" wp14:editId="685DBBBE">
          <wp:simplePos x="0" y="0"/>
          <wp:positionH relativeFrom="margin">
            <wp:align>left</wp:align>
          </wp:positionH>
          <wp:positionV relativeFrom="paragraph">
            <wp:posOffset>-19685</wp:posOffset>
          </wp:positionV>
          <wp:extent cx="1589405" cy="465455"/>
          <wp:effectExtent l="0" t="0" r="0" b="0"/>
          <wp:wrapTopAndBottom/>
          <wp:docPr id="412669222" name="Obraz 412669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0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97351" w14:textId="77777777" w:rsidR="0040532B" w:rsidRDefault="0040532B" w:rsidP="00CD5D56">
    <w:pPr>
      <w:pStyle w:val="Nagwek"/>
      <w:ind w:hanging="567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EF8466E" wp14:editId="45B2E511">
          <wp:simplePos x="0" y="0"/>
          <wp:positionH relativeFrom="column">
            <wp:posOffset>117594</wp:posOffset>
          </wp:positionH>
          <wp:positionV relativeFrom="paragraph">
            <wp:posOffset>171450</wp:posOffset>
          </wp:positionV>
          <wp:extent cx="1589405" cy="46545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0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9A9F8" w14:textId="77777777" w:rsidR="0040532B" w:rsidRDefault="0040532B" w:rsidP="00CD5D56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2.45pt;height:22.45pt" o:bullet="t">
        <v:imagedata r:id="rId1" o:title="znaczek"/>
      </v:shape>
    </w:pict>
  </w:numPicBullet>
  <w:abstractNum w:abstractNumId="0" w15:restartNumberingAfterBreak="0">
    <w:nsid w:val="FFFFFF83"/>
    <w:multiLevelType w:val="singleLevel"/>
    <w:tmpl w:val="7FF2F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8F2972"/>
    <w:multiLevelType w:val="hybridMultilevel"/>
    <w:tmpl w:val="68DC3A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82A2C"/>
    <w:multiLevelType w:val="hybridMultilevel"/>
    <w:tmpl w:val="10AC1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D4929"/>
    <w:multiLevelType w:val="multilevel"/>
    <w:tmpl w:val="DF06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E2C90"/>
    <w:multiLevelType w:val="multilevel"/>
    <w:tmpl w:val="BD7E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90D5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12E79"/>
    <w:multiLevelType w:val="multilevel"/>
    <w:tmpl w:val="0200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318E5"/>
    <w:multiLevelType w:val="hybridMultilevel"/>
    <w:tmpl w:val="802EF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25C7C"/>
    <w:multiLevelType w:val="multilevel"/>
    <w:tmpl w:val="77E04DCC"/>
    <w:lvl w:ilvl="0">
      <w:start w:val="1"/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90D5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1275E7"/>
    <w:multiLevelType w:val="hybridMultilevel"/>
    <w:tmpl w:val="EA8A6EEC"/>
    <w:lvl w:ilvl="0" w:tplc="AC9C8A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06A1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B42D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D85F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0619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C1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C8E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0875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345B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96A82"/>
    <w:multiLevelType w:val="hybridMultilevel"/>
    <w:tmpl w:val="7ECAB274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170785"/>
    <w:multiLevelType w:val="hybridMultilevel"/>
    <w:tmpl w:val="4636F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B0490"/>
    <w:multiLevelType w:val="hybridMultilevel"/>
    <w:tmpl w:val="D43233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9557E"/>
    <w:multiLevelType w:val="hybridMultilevel"/>
    <w:tmpl w:val="F1166BAE"/>
    <w:lvl w:ilvl="0" w:tplc="8FA66AA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0290B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3232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AD06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6C20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A66DD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EA497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4537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38651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030291D"/>
    <w:multiLevelType w:val="hybridMultilevel"/>
    <w:tmpl w:val="4408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42334"/>
    <w:multiLevelType w:val="hybridMultilevel"/>
    <w:tmpl w:val="5636C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36DBD"/>
    <w:multiLevelType w:val="hybridMultilevel"/>
    <w:tmpl w:val="6A803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75475"/>
    <w:multiLevelType w:val="hybridMultilevel"/>
    <w:tmpl w:val="93489868"/>
    <w:lvl w:ilvl="0" w:tplc="6B38CA1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1CE00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AB2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5C3DF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1A1AA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ACA51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1CBA3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4F6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F204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6140362"/>
    <w:multiLevelType w:val="multilevel"/>
    <w:tmpl w:val="F536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E7D"/>
    <w:multiLevelType w:val="hybridMultilevel"/>
    <w:tmpl w:val="1854CB82"/>
    <w:lvl w:ilvl="0" w:tplc="E0B881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C8C79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62498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A41BF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BC6C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0851F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825A7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16E5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00035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AB502B"/>
    <w:multiLevelType w:val="hybridMultilevel"/>
    <w:tmpl w:val="8F30B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75923"/>
    <w:multiLevelType w:val="hybridMultilevel"/>
    <w:tmpl w:val="AA64414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9B47B7D"/>
    <w:multiLevelType w:val="hybridMultilevel"/>
    <w:tmpl w:val="7458DB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55FAC"/>
    <w:multiLevelType w:val="hybridMultilevel"/>
    <w:tmpl w:val="36142014"/>
    <w:lvl w:ilvl="0" w:tplc="EE42F9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6C8D1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A60FA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B82A1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0784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E4E7E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EC93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72C5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14CBE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B322FB2"/>
    <w:multiLevelType w:val="multilevel"/>
    <w:tmpl w:val="194A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E623BB"/>
    <w:multiLevelType w:val="hybridMultilevel"/>
    <w:tmpl w:val="D0C822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55E7759"/>
    <w:multiLevelType w:val="multilevel"/>
    <w:tmpl w:val="EC609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8792879">
    <w:abstractNumId w:val="7"/>
  </w:num>
  <w:num w:numId="2" w16cid:durableId="1377317194">
    <w:abstractNumId w:val="16"/>
  </w:num>
  <w:num w:numId="3" w16cid:durableId="1911621196">
    <w:abstractNumId w:val="4"/>
  </w:num>
  <w:num w:numId="4" w16cid:durableId="2079981869">
    <w:abstractNumId w:val="13"/>
  </w:num>
  <w:num w:numId="5" w16cid:durableId="1628657649">
    <w:abstractNumId w:val="24"/>
  </w:num>
  <w:num w:numId="6" w16cid:durableId="146022674">
    <w:abstractNumId w:val="9"/>
  </w:num>
  <w:num w:numId="7" w16cid:durableId="1852988586">
    <w:abstractNumId w:val="21"/>
  </w:num>
  <w:num w:numId="8" w16cid:durableId="1966691753">
    <w:abstractNumId w:val="11"/>
  </w:num>
  <w:num w:numId="9" w16cid:durableId="567573311">
    <w:abstractNumId w:val="23"/>
  </w:num>
  <w:num w:numId="10" w16cid:durableId="737870854">
    <w:abstractNumId w:val="6"/>
  </w:num>
  <w:num w:numId="11" w16cid:durableId="1074282232">
    <w:abstractNumId w:val="12"/>
  </w:num>
  <w:num w:numId="12" w16cid:durableId="1587030043">
    <w:abstractNumId w:val="1"/>
  </w:num>
  <w:num w:numId="13" w16cid:durableId="246114433">
    <w:abstractNumId w:val="18"/>
  </w:num>
  <w:num w:numId="14" w16cid:durableId="1845824966">
    <w:abstractNumId w:val="22"/>
  </w:num>
  <w:num w:numId="15" w16cid:durableId="109324088">
    <w:abstractNumId w:val="0"/>
  </w:num>
  <w:num w:numId="16" w16cid:durableId="1082143267">
    <w:abstractNumId w:val="2"/>
  </w:num>
  <w:num w:numId="17" w16cid:durableId="420179497">
    <w:abstractNumId w:val="20"/>
  </w:num>
  <w:num w:numId="18" w16cid:durableId="663900459">
    <w:abstractNumId w:val="19"/>
  </w:num>
  <w:num w:numId="19" w16cid:durableId="335886097">
    <w:abstractNumId w:val="15"/>
  </w:num>
  <w:num w:numId="20" w16cid:durableId="1381249478">
    <w:abstractNumId w:val="14"/>
  </w:num>
  <w:num w:numId="21" w16cid:durableId="2108302397">
    <w:abstractNumId w:val="8"/>
  </w:num>
  <w:num w:numId="22" w16cid:durableId="945229404">
    <w:abstractNumId w:val="5"/>
  </w:num>
  <w:num w:numId="23" w16cid:durableId="615717411">
    <w:abstractNumId w:val="25"/>
  </w:num>
  <w:num w:numId="24" w16cid:durableId="464733813">
    <w:abstractNumId w:val="10"/>
  </w:num>
  <w:num w:numId="25" w16cid:durableId="1374421843">
    <w:abstractNumId w:val="3"/>
  </w:num>
  <w:num w:numId="26" w16cid:durableId="4816552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E56"/>
    <w:rsid w:val="00000AB5"/>
    <w:rsid w:val="00007371"/>
    <w:rsid w:val="0000765A"/>
    <w:rsid w:val="000107FC"/>
    <w:rsid w:val="000111DE"/>
    <w:rsid w:val="00011BC5"/>
    <w:rsid w:val="000129A1"/>
    <w:rsid w:val="00013487"/>
    <w:rsid w:val="0001477E"/>
    <w:rsid w:val="00015B7B"/>
    <w:rsid w:val="00015C7A"/>
    <w:rsid w:val="000173D1"/>
    <w:rsid w:val="00017D6D"/>
    <w:rsid w:val="00020700"/>
    <w:rsid w:val="00021720"/>
    <w:rsid w:val="00021D3E"/>
    <w:rsid w:val="00023E05"/>
    <w:rsid w:val="00024ABA"/>
    <w:rsid w:val="00024F07"/>
    <w:rsid w:val="00025141"/>
    <w:rsid w:val="00025A49"/>
    <w:rsid w:val="000262A8"/>
    <w:rsid w:val="000264A2"/>
    <w:rsid w:val="000276DB"/>
    <w:rsid w:val="00030E5F"/>
    <w:rsid w:val="0003196D"/>
    <w:rsid w:val="000337C5"/>
    <w:rsid w:val="00035F01"/>
    <w:rsid w:val="00040B50"/>
    <w:rsid w:val="00041594"/>
    <w:rsid w:val="00043D78"/>
    <w:rsid w:val="000443CF"/>
    <w:rsid w:val="00045305"/>
    <w:rsid w:val="00046210"/>
    <w:rsid w:val="0004698C"/>
    <w:rsid w:val="00046B3F"/>
    <w:rsid w:val="000475D3"/>
    <w:rsid w:val="0004761F"/>
    <w:rsid w:val="00047CE3"/>
    <w:rsid w:val="00050278"/>
    <w:rsid w:val="00050C80"/>
    <w:rsid w:val="00050E07"/>
    <w:rsid w:val="0005167F"/>
    <w:rsid w:val="00051718"/>
    <w:rsid w:val="0005445B"/>
    <w:rsid w:val="00054FD8"/>
    <w:rsid w:val="00055BB4"/>
    <w:rsid w:val="00060292"/>
    <w:rsid w:val="000612DF"/>
    <w:rsid w:val="00064D26"/>
    <w:rsid w:val="000650C5"/>
    <w:rsid w:val="00072FCE"/>
    <w:rsid w:val="000734EC"/>
    <w:rsid w:val="00073C9E"/>
    <w:rsid w:val="00074070"/>
    <w:rsid w:val="00074732"/>
    <w:rsid w:val="00075A84"/>
    <w:rsid w:val="00077922"/>
    <w:rsid w:val="0008032C"/>
    <w:rsid w:val="000806FD"/>
    <w:rsid w:val="0008077F"/>
    <w:rsid w:val="00081E50"/>
    <w:rsid w:val="000825F0"/>
    <w:rsid w:val="00082B97"/>
    <w:rsid w:val="000830BD"/>
    <w:rsid w:val="00084A28"/>
    <w:rsid w:val="00085215"/>
    <w:rsid w:val="00093F2B"/>
    <w:rsid w:val="00094896"/>
    <w:rsid w:val="000949CF"/>
    <w:rsid w:val="00097294"/>
    <w:rsid w:val="00097693"/>
    <w:rsid w:val="000A3A55"/>
    <w:rsid w:val="000A5BFB"/>
    <w:rsid w:val="000A69C7"/>
    <w:rsid w:val="000A6CCC"/>
    <w:rsid w:val="000A7674"/>
    <w:rsid w:val="000B04CE"/>
    <w:rsid w:val="000B0DDA"/>
    <w:rsid w:val="000B1987"/>
    <w:rsid w:val="000B2F65"/>
    <w:rsid w:val="000B31BD"/>
    <w:rsid w:val="000B33A5"/>
    <w:rsid w:val="000B3D39"/>
    <w:rsid w:val="000B40A3"/>
    <w:rsid w:val="000C1B63"/>
    <w:rsid w:val="000C20E4"/>
    <w:rsid w:val="000C3332"/>
    <w:rsid w:val="000C3E75"/>
    <w:rsid w:val="000C50D3"/>
    <w:rsid w:val="000C5794"/>
    <w:rsid w:val="000C74B9"/>
    <w:rsid w:val="000C76BE"/>
    <w:rsid w:val="000D24BC"/>
    <w:rsid w:val="000D5530"/>
    <w:rsid w:val="000D5AE4"/>
    <w:rsid w:val="000D7646"/>
    <w:rsid w:val="000D7E78"/>
    <w:rsid w:val="000E0462"/>
    <w:rsid w:val="000E04C8"/>
    <w:rsid w:val="000E0DA3"/>
    <w:rsid w:val="000E2182"/>
    <w:rsid w:val="000E46BC"/>
    <w:rsid w:val="000E6349"/>
    <w:rsid w:val="000E663F"/>
    <w:rsid w:val="000E7045"/>
    <w:rsid w:val="000F170E"/>
    <w:rsid w:val="000F1803"/>
    <w:rsid w:val="000F1C13"/>
    <w:rsid w:val="000F2E23"/>
    <w:rsid w:val="000F3339"/>
    <w:rsid w:val="000F3595"/>
    <w:rsid w:val="000F36EC"/>
    <w:rsid w:val="000F383A"/>
    <w:rsid w:val="000F456F"/>
    <w:rsid w:val="000F4E4D"/>
    <w:rsid w:val="000F6EDE"/>
    <w:rsid w:val="000F70A3"/>
    <w:rsid w:val="00101148"/>
    <w:rsid w:val="00101563"/>
    <w:rsid w:val="00101B2E"/>
    <w:rsid w:val="001043DF"/>
    <w:rsid w:val="001072E4"/>
    <w:rsid w:val="001074C6"/>
    <w:rsid w:val="00107BB1"/>
    <w:rsid w:val="00111743"/>
    <w:rsid w:val="00112135"/>
    <w:rsid w:val="00112FF7"/>
    <w:rsid w:val="00114419"/>
    <w:rsid w:val="0011471C"/>
    <w:rsid w:val="0011541F"/>
    <w:rsid w:val="00115A00"/>
    <w:rsid w:val="0011623E"/>
    <w:rsid w:val="0011647F"/>
    <w:rsid w:val="001172B6"/>
    <w:rsid w:val="00117FDA"/>
    <w:rsid w:val="001211B6"/>
    <w:rsid w:val="00123B34"/>
    <w:rsid w:val="00124668"/>
    <w:rsid w:val="0012658B"/>
    <w:rsid w:val="001274D6"/>
    <w:rsid w:val="00130870"/>
    <w:rsid w:val="001316C5"/>
    <w:rsid w:val="0013175B"/>
    <w:rsid w:val="00132746"/>
    <w:rsid w:val="0013337A"/>
    <w:rsid w:val="00133D13"/>
    <w:rsid w:val="0013508E"/>
    <w:rsid w:val="0013679B"/>
    <w:rsid w:val="00136BBE"/>
    <w:rsid w:val="001411A7"/>
    <w:rsid w:val="001413E3"/>
    <w:rsid w:val="00141839"/>
    <w:rsid w:val="00150874"/>
    <w:rsid w:val="00150A4A"/>
    <w:rsid w:val="00151EDC"/>
    <w:rsid w:val="00152508"/>
    <w:rsid w:val="001525C7"/>
    <w:rsid w:val="001527EC"/>
    <w:rsid w:val="00153547"/>
    <w:rsid w:val="0015561D"/>
    <w:rsid w:val="00156634"/>
    <w:rsid w:val="00157996"/>
    <w:rsid w:val="00160828"/>
    <w:rsid w:val="00160C20"/>
    <w:rsid w:val="001613F5"/>
    <w:rsid w:val="001622C6"/>
    <w:rsid w:val="00162353"/>
    <w:rsid w:val="001637EC"/>
    <w:rsid w:val="001644FA"/>
    <w:rsid w:val="001657E3"/>
    <w:rsid w:val="00165DA2"/>
    <w:rsid w:val="0016681E"/>
    <w:rsid w:val="00166DDC"/>
    <w:rsid w:val="001673BD"/>
    <w:rsid w:val="00167877"/>
    <w:rsid w:val="00170225"/>
    <w:rsid w:val="00171976"/>
    <w:rsid w:val="00172872"/>
    <w:rsid w:val="00172FBA"/>
    <w:rsid w:val="0017338B"/>
    <w:rsid w:val="00173D84"/>
    <w:rsid w:val="00174401"/>
    <w:rsid w:val="00174753"/>
    <w:rsid w:val="001768D4"/>
    <w:rsid w:val="0018141E"/>
    <w:rsid w:val="00182282"/>
    <w:rsid w:val="0018375B"/>
    <w:rsid w:val="00183C29"/>
    <w:rsid w:val="00183FC0"/>
    <w:rsid w:val="00183FCF"/>
    <w:rsid w:val="0018454C"/>
    <w:rsid w:val="001854D7"/>
    <w:rsid w:val="00186743"/>
    <w:rsid w:val="00186937"/>
    <w:rsid w:val="001905B7"/>
    <w:rsid w:val="00191564"/>
    <w:rsid w:val="00191754"/>
    <w:rsid w:val="00192339"/>
    <w:rsid w:val="0019248E"/>
    <w:rsid w:val="0019256E"/>
    <w:rsid w:val="0019345E"/>
    <w:rsid w:val="00195DF3"/>
    <w:rsid w:val="00197DFB"/>
    <w:rsid w:val="001A0D04"/>
    <w:rsid w:val="001A0F04"/>
    <w:rsid w:val="001A1660"/>
    <w:rsid w:val="001A274D"/>
    <w:rsid w:val="001A5397"/>
    <w:rsid w:val="001A6007"/>
    <w:rsid w:val="001A7362"/>
    <w:rsid w:val="001A79D7"/>
    <w:rsid w:val="001B05B7"/>
    <w:rsid w:val="001B3831"/>
    <w:rsid w:val="001B4851"/>
    <w:rsid w:val="001B5C95"/>
    <w:rsid w:val="001B66B4"/>
    <w:rsid w:val="001B721B"/>
    <w:rsid w:val="001B7E15"/>
    <w:rsid w:val="001C0347"/>
    <w:rsid w:val="001C1DB6"/>
    <w:rsid w:val="001C30F5"/>
    <w:rsid w:val="001C37F6"/>
    <w:rsid w:val="001C37F9"/>
    <w:rsid w:val="001C3B8A"/>
    <w:rsid w:val="001C3CB2"/>
    <w:rsid w:val="001C4174"/>
    <w:rsid w:val="001C5E8F"/>
    <w:rsid w:val="001C6CA3"/>
    <w:rsid w:val="001C7925"/>
    <w:rsid w:val="001D09D4"/>
    <w:rsid w:val="001D0F00"/>
    <w:rsid w:val="001D1B66"/>
    <w:rsid w:val="001D2430"/>
    <w:rsid w:val="001D34A9"/>
    <w:rsid w:val="001D4225"/>
    <w:rsid w:val="001D45D5"/>
    <w:rsid w:val="001D46A7"/>
    <w:rsid w:val="001D5AEE"/>
    <w:rsid w:val="001E0FE5"/>
    <w:rsid w:val="001E1CCB"/>
    <w:rsid w:val="001E3BFB"/>
    <w:rsid w:val="001E5E72"/>
    <w:rsid w:val="001F07C9"/>
    <w:rsid w:val="001F0893"/>
    <w:rsid w:val="001F1B75"/>
    <w:rsid w:val="001F2CC2"/>
    <w:rsid w:val="001F494C"/>
    <w:rsid w:val="001F71C5"/>
    <w:rsid w:val="001F72AB"/>
    <w:rsid w:val="001F78F2"/>
    <w:rsid w:val="001F7FF6"/>
    <w:rsid w:val="00200BCF"/>
    <w:rsid w:val="00200EC3"/>
    <w:rsid w:val="00201BD2"/>
    <w:rsid w:val="00201EE6"/>
    <w:rsid w:val="00202064"/>
    <w:rsid w:val="00203105"/>
    <w:rsid w:val="002034F8"/>
    <w:rsid w:val="002041B8"/>
    <w:rsid w:val="002045C8"/>
    <w:rsid w:val="00205376"/>
    <w:rsid w:val="00205D14"/>
    <w:rsid w:val="00206A59"/>
    <w:rsid w:val="002074D4"/>
    <w:rsid w:val="00207C77"/>
    <w:rsid w:val="00210D33"/>
    <w:rsid w:val="00211ADC"/>
    <w:rsid w:val="00213091"/>
    <w:rsid w:val="002138EF"/>
    <w:rsid w:val="00215368"/>
    <w:rsid w:val="00216FA1"/>
    <w:rsid w:val="002209B8"/>
    <w:rsid w:val="0022213B"/>
    <w:rsid w:val="002224AD"/>
    <w:rsid w:val="00222926"/>
    <w:rsid w:val="00222B21"/>
    <w:rsid w:val="00223F38"/>
    <w:rsid w:val="00223FFB"/>
    <w:rsid w:val="00224C53"/>
    <w:rsid w:val="00225B21"/>
    <w:rsid w:val="00226BEC"/>
    <w:rsid w:val="00227F7E"/>
    <w:rsid w:val="002303DB"/>
    <w:rsid w:val="00231184"/>
    <w:rsid w:val="002339DF"/>
    <w:rsid w:val="0023527D"/>
    <w:rsid w:val="00235706"/>
    <w:rsid w:val="00236077"/>
    <w:rsid w:val="002416C0"/>
    <w:rsid w:val="0024231B"/>
    <w:rsid w:val="00244577"/>
    <w:rsid w:val="0024479A"/>
    <w:rsid w:val="00245D30"/>
    <w:rsid w:val="00245FE4"/>
    <w:rsid w:val="0024600A"/>
    <w:rsid w:val="00247869"/>
    <w:rsid w:val="00254832"/>
    <w:rsid w:val="00255267"/>
    <w:rsid w:val="00255651"/>
    <w:rsid w:val="00261A1C"/>
    <w:rsid w:val="00264FBB"/>
    <w:rsid w:val="002656DF"/>
    <w:rsid w:val="00266DBC"/>
    <w:rsid w:val="002672CC"/>
    <w:rsid w:val="002745DB"/>
    <w:rsid w:val="00275CB2"/>
    <w:rsid w:val="00276CD9"/>
    <w:rsid w:val="00280587"/>
    <w:rsid w:val="002814F2"/>
    <w:rsid w:val="002839D4"/>
    <w:rsid w:val="00284DC0"/>
    <w:rsid w:val="00285DBB"/>
    <w:rsid w:val="00286181"/>
    <w:rsid w:val="0028664D"/>
    <w:rsid w:val="00287519"/>
    <w:rsid w:val="002903DA"/>
    <w:rsid w:val="00290BFC"/>
    <w:rsid w:val="00294A87"/>
    <w:rsid w:val="00295554"/>
    <w:rsid w:val="00296F9A"/>
    <w:rsid w:val="002971F5"/>
    <w:rsid w:val="002A06A8"/>
    <w:rsid w:val="002A2D88"/>
    <w:rsid w:val="002A38A5"/>
    <w:rsid w:val="002A3CE0"/>
    <w:rsid w:val="002A4844"/>
    <w:rsid w:val="002A4958"/>
    <w:rsid w:val="002A5B67"/>
    <w:rsid w:val="002A5C58"/>
    <w:rsid w:val="002A609B"/>
    <w:rsid w:val="002B0176"/>
    <w:rsid w:val="002B0567"/>
    <w:rsid w:val="002B0DBD"/>
    <w:rsid w:val="002B6EBA"/>
    <w:rsid w:val="002C17CA"/>
    <w:rsid w:val="002C3ADA"/>
    <w:rsid w:val="002C41AA"/>
    <w:rsid w:val="002C47A8"/>
    <w:rsid w:val="002C54CA"/>
    <w:rsid w:val="002D17FD"/>
    <w:rsid w:val="002D31A8"/>
    <w:rsid w:val="002D37B9"/>
    <w:rsid w:val="002D5150"/>
    <w:rsid w:val="002D5E38"/>
    <w:rsid w:val="002E1351"/>
    <w:rsid w:val="002E34EF"/>
    <w:rsid w:val="002E5044"/>
    <w:rsid w:val="002E5085"/>
    <w:rsid w:val="002E5109"/>
    <w:rsid w:val="002E5206"/>
    <w:rsid w:val="002E60B6"/>
    <w:rsid w:val="002E6235"/>
    <w:rsid w:val="002E7C38"/>
    <w:rsid w:val="002F386C"/>
    <w:rsid w:val="002F54CB"/>
    <w:rsid w:val="002F6D11"/>
    <w:rsid w:val="002F7371"/>
    <w:rsid w:val="00303B53"/>
    <w:rsid w:val="00304582"/>
    <w:rsid w:val="00304714"/>
    <w:rsid w:val="00304901"/>
    <w:rsid w:val="0031058B"/>
    <w:rsid w:val="00310A03"/>
    <w:rsid w:val="00315C26"/>
    <w:rsid w:val="00315C38"/>
    <w:rsid w:val="00315FE2"/>
    <w:rsid w:val="00316602"/>
    <w:rsid w:val="00317550"/>
    <w:rsid w:val="00320935"/>
    <w:rsid w:val="00321E0B"/>
    <w:rsid w:val="0032277E"/>
    <w:rsid w:val="0032279A"/>
    <w:rsid w:val="003233CB"/>
    <w:rsid w:val="00325F59"/>
    <w:rsid w:val="00326C25"/>
    <w:rsid w:val="003270D8"/>
    <w:rsid w:val="0032767E"/>
    <w:rsid w:val="0033010C"/>
    <w:rsid w:val="003314E2"/>
    <w:rsid w:val="00331530"/>
    <w:rsid w:val="00334A19"/>
    <w:rsid w:val="00337454"/>
    <w:rsid w:val="0034155C"/>
    <w:rsid w:val="00342610"/>
    <w:rsid w:val="00342B73"/>
    <w:rsid w:val="00342E44"/>
    <w:rsid w:val="00343550"/>
    <w:rsid w:val="00345470"/>
    <w:rsid w:val="0034580A"/>
    <w:rsid w:val="003478E4"/>
    <w:rsid w:val="0035387E"/>
    <w:rsid w:val="00353A49"/>
    <w:rsid w:val="00355960"/>
    <w:rsid w:val="003567C2"/>
    <w:rsid w:val="00356E3C"/>
    <w:rsid w:val="003579F9"/>
    <w:rsid w:val="003618DC"/>
    <w:rsid w:val="003618E4"/>
    <w:rsid w:val="00362019"/>
    <w:rsid w:val="00362FBD"/>
    <w:rsid w:val="003632D5"/>
    <w:rsid w:val="0036521A"/>
    <w:rsid w:val="00365391"/>
    <w:rsid w:val="003669AF"/>
    <w:rsid w:val="00367FFE"/>
    <w:rsid w:val="00370174"/>
    <w:rsid w:val="003701C0"/>
    <w:rsid w:val="0037290A"/>
    <w:rsid w:val="0037567C"/>
    <w:rsid w:val="00375F95"/>
    <w:rsid w:val="00381292"/>
    <w:rsid w:val="00383A28"/>
    <w:rsid w:val="00387525"/>
    <w:rsid w:val="0038762F"/>
    <w:rsid w:val="00391F75"/>
    <w:rsid w:val="003929A6"/>
    <w:rsid w:val="003A2402"/>
    <w:rsid w:val="003A2C8B"/>
    <w:rsid w:val="003A4D47"/>
    <w:rsid w:val="003A5177"/>
    <w:rsid w:val="003A6619"/>
    <w:rsid w:val="003A7052"/>
    <w:rsid w:val="003A7327"/>
    <w:rsid w:val="003B030E"/>
    <w:rsid w:val="003B0BAD"/>
    <w:rsid w:val="003B1FEE"/>
    <w:rsid w:val="003B2E27"/>
    <w:rsid w:val="003B3207"/>
    <w:rsid w:val="003B3277"/>
    <w:rsid w:val="003B55C9"/>
    <w:rsid w:val="003B5F36"/>
    <w:rsid w:val="003B7A3D"/>
    <w:rsid w:val="003C2CCF"/>
    <w:rsid w:val="003C3510"/>
    <w:rsid w:val="003C4F3D"/>
    <w:rsid w:val="003C61FF"/>
    <w:rsid w:val="003C7F3C"/>
    <w:rsid w:val="003D0C4A"/>
    <w:rsid w:val="003D191E"/>
    <w:rsid w:val="003D1BAB"/>
    <w:rsid w:val="003D2027"/>
    <w:rsid w:val="003D262C"/>
    <w:rsid w:val="003D3E40"/>
    <w:rsid w:val="003D468D"/>
    <w:rsid w:val="003D4A97"/>
    <w:rsid w:val="003D5890"/>
    <w:rsid w:val="003D6B2F"/>
    <w:rsid w:val="003D71EF"/>
    <w:rsid w:val="003E013E"/>
    <w:rsid w:val="003E0985"/>
    <w:rsid w:val="003E206A"/>
    <w:rsid w:val="003E2EF9"/>
    <w:rsid w:val="003E3626"/>
    <w:rsid w:val="003E6F2F"/>
    <w:rsid w:val="003E70D7"/>
    <w:rsid w:val="003E75C2"/>
    <w:rsid w:val="003F103D"/>
    <w:rsid w:val="003F20D2"/>
    <w:rsid w:val="003F2FDD"/>
    <w:rsid w:val="003F4968"/>
    <w:rsid w:val="003F7A0F"/>
    <w:rsid w:val="003F7DDC"/>
    <w:rsid w:val="00400AA8"/>
    <w:rsid w:val="0040141C"/>
    <w:rsid w:val="00403CDA"/>
    <w:rsid w:val="0040532B"/>
    <w:rsid w:val="00406969"/>
    <w:rsid w:val="00406D33"/>
    <w:rsid w:val="00407A67"/>
    <w:rsid w:val="004105E3"/>
    <w:rsid w:val="00410748"/>
    <w:rsid w:val="004108A8"/>
    <w:rsid w:val="00410A07"/>
    <w:rsid w:val="0041110E"/>
    <w:rsid w:val="00411565"/>
    <w:rsid w:val="0041596A"/>
    <w:rsid w:val="00417452"/>
    <w:rsid w:val="0041775A"/>
    <w:rsid w:val="004205BD"/>
    <w:rsid w:val="004222A4"/>
    <w:rsid w:val="004224A3"/>
    <w:rsid w:val="00424F79"/>
    <w:rsid w:val="00424FE9"/>
    <w:rsid w:val="00425F50"/>
    <w:rsid w:val="0042616C"/>
    <w:rsid w:val="004265AA"/>
    <w:rsid w:val="00430ADC"/>
    <w:rsid w:val="004311D5"/>
    <w:rsid w:val="00435AB4"/>
    <w:rsid w:val="00435D9F"/>
    <w:rsid w:val="00436300"/>
    <w:rsid w:val="00436837"/>
    <w:rsid w:val="00436E19"/>
    <w:rsid w:val="00436F36"/>
    <w:rsid w:val="00437E7E"/>
    <w:rsid w:val="00441211"/>
    <w:rsid w:val="00441786"/>
    <w:rsid w:val="00441D8B"/>
    <w:rsid w:val="00442A6B"/>
    <w:rsid w:val="00442C76"/>
    <w:rsid w:val="00443221"/>
    <w:rsid w:val="00444B26"/>
    <w:rsid w:val="00445CFF"/>
    <w:rsid w:val="00447282"/>
    <w:rsid w:val="00447CE2"/>
    <w:rsid w:val="00450B53"/>
    <w:rsid w:val="0045159F"/>
    <w:rsid w:val="0045401F"/>
    <w:rsid w:val="0045578D"/>
    <w:rsid w:val="00463BB0"/>
    <w:rsid w:val="004643A6"/>
    <w:rsid w:val="00466389"/>
    <w:rsid w:val="004709D8"/>
    <w:rsid w:val="00471343"/>
    <w:rsid w:val="00472203"/>
    <w:rsid w:val="0047249B"/>
    <w:rsid w:val="00472DB8"/>
    <w:rsid w:val="00473F9A"/>
    <w:rsid w:val="00475AC2"/>
    <w:rsid w:val="0048020C"/>
    <w:rsid w:val="00483515"/>
    <w:rsid w:val="00486B9B"/>
    <w:rsid w:val="00486CF9"/>
    <w:rsid w:val="0049103B"/>
    <w:rsid w:val="004946BE"/>
    <w:rsid w:val="0049481E"/>
    <w:rsid w:val="0049518B"/>
    <w:rsid w:val="00495849"/>
    <w:rsid w:val="00495B23"/>
    <w:rsid w:val="004A0524"/>
    <w:rsid w:val="004A0E50"/>
    <w:rsid w:val="004A0F17"/>
    <w:rsid w:val="004A1111"/>
    <w:rsid w:val="004A21D6"/>
    <w:rsid w:val="004A3FCF"/>
    <w:rsid w:val="004A5213"/>
    <w:rsid w:val="004A6AE5"/>
    <w:rsid w:val="004A6B0D"/>
    <w:rsid w:val="004A7C4C"/>
    <w:rsid w:val="004A7EF2"/>
    <w:rsid w:val="004B0190"/>
    <w:rsid w:val="004B0CDD"/>
    <w:rsid w:val="004B0E45"/>
    <w:rsid w:val="004B101D"/>
    <w:rsid w:val="004B1FAE"/>
    <w:rsid w:val="004B31CA"/>
    <w:rsid w:val="004B51EA"/>
    <w:rsid w:val="004B5315"/>
    <w:rsid w:val="004B6A08"/>
    <w:rsid w:val="004B6A7E"/>
    <w:rsid w:val="004B6AE7"/>
    <w:rsid w:val="004C0A34"/>
    <w:rsid w:val="004C2544"/>
    <w:rsid w:val="004C2A61"/>
    <w:rsid w:val="004C2FF8"/>
    <w:rsid w:val="004C3977"/>
    <w:rsid w:val="004C490D"/>
    <w:rsid w:val="004C4985"/>
    <w:rsid w:val="004C65CE"/>
    <w:rsid w:val="004C6840"/>
    <w:rsid w:val="004D0C4B"/>
    <w:rsid w:val="004D2F79"/>
    <w:rsid w:val="004D38F1"/>
    <w:rsid w:val="004D3AB7"/>
    <w:rsid w:val="004D41B9"/>
    <w:rsid w:val="004D453A"/>
    <w:rsid w:val="004D56D2"/>
    <w:rsid w:val="004D5974"/>
    <w:rsid w:val="004D7B87"/>
    <w:rsid w:val="004E1496"/>
    <w:rsid w:val="004E1568"/>
    <w:rsid w:val="004E21D2"/>
    <w:rsid w:val="004E27E3"/>
    <w:rsid w:val="004E2F1A"/>
    <w:rsid w:val="004E6544"/>
    <w:rsid w:val="004E66F1"/>
    <w:rsid w:val="004E6A9B"/>
    <w:rsid w:val="004E6E9E"/>
    <w:rsid w:val="004E7032"/>
    <w:rsid w:val="004E7645"/>
    <w:rsid w:val="004F00BD"/>
    <w:rsid w:val="004F020D"/>
    <w:rsid w:val="004F111B"/>
    <w:rsid w:val="004F14BF"/>
    <w:rsid w:val="004F1D95"/>
    <w:rsid w:val="004F2568"/>
    <w:rsid w:val="004F30C2"/>
    <w:rsid w:val="004F402B"/>
    <w:rsid w:val="004F4369"/>
    <w:rsid w:val="004F51B0"/>
    <w:rsid w:val="004F6AFA"/>
    <w:rsid w:val="004F7637"/>
    <w:rsid w:val="0050285E"/>
    <w:rsid w:val="005029FF"/>
    <w:rsid w:val="00503099"/>
    <w:rsid w:val="0050370F"/>
    <w:rsid w:val="00504DB2"/>
    <w:rsid w:val="005060D0"/>
    <w:rsid w:val="00506EC6"/>
    <w:rsid w:val="00510599"/>
    <w:rsid w:val="00510F23"/>
    <w:rsid w:val="0051167F"/>
    <w:rsid w:val="00512A7A"/>
    <w:rsid w:val="00514055"/>
    <w:rsid w:val="00514523"/>
    <w:rsid w:val="0051662C"/>
    <w:rsid w:val="00516D4C"/>
    <w:rsid w:val="00516E27"/>
    <w:rsid w:val="0051770B"/>
    <w:rsid w:val="0052122D"/>
    <w:rsid w:val="00521280"/>
    <w:rsid w:val="0052176B"/>
    <w:rsid w:val="00522701"/>
    <w:rsid w:val="00523BBC"/>
    <w:rsid w:val="00524008"/>
    <w:rsid w:val="005278FD"/>
    <w:rsid w:val="00530326"/>
    <w:rsid w:val="00530A7C"/>
    <w:rsid w:val="00532DAD"/>
    <w:rsid w:val="00534742"/>
    <w:rsid w:val="00534B25"/>
    <w:rsid w:val="00536B1A"/>
    <w:rsid w:val="00536E46"/>
    <w:rsid w:val="00537C68"/>
    <w:rsid w:val="00541CAA"/>
    <w:rsid w:val="00543EBF"/>
    <w:rsid w:val="005442CE"/>
    <w:rsid w:val="00544859"/>
    <w:rsid w:val="00544BF0"/>
    <w:rsid w:val="0054570F"/>
    <w:rsid w:val="00546339"/>
    <w:rsid w:val="00550162"/>
    <w:rsid w:val="00550BEF"/>
    <w:rsid w:val="00550C5B"/>
    <w:rsid w:val="0055230D"/>
    <w:rsid w:val="0055286C"/>
    <w:rsid w:val="00552E2F"/>
    <w:rsid w:val="00554253"/>
    <w:rsid w:val="005545BD"/>
    <w:rsid w:val="00556CBB"/>
    <w:rsid w:val="00557090"/>
    <w:rsid w:val="0055775B"/>
    <w:rsid w:val="00557CBE"/>
    <w:rsid w:val="00560435"/>
    <w:rsid w:val="0056121A"/>
    <w:rsid w:val="00562472"/>
    <w:rsid w:val="00562641"/>
    <w:rsid w:val="005637B1"/>
    <w:rsid w:val="0056492D"/>
    <w:rsid w:val="0056623A"/>
    <w:rsid w:val="00566C39"/>
    <w:rsid w:val="005718D7"/>
    <w:rsid w:val="00572391"/>
    <w:rsid w:val="00575B79"/>
    <w:rsid w:val="00575C5B"/>
    <w:rsid w:val="00580B27"/>
    <w:rsid w:val="00582B12"/>
    <w:rsid w:val="00584BC4"/>
    <w:rsid w:val="00587EB6"/>
    <w:rsid w:val="0059441A"/>
    <w:rsid w:val="00594D1E"/>
    <w:rsid w:val="0059640A"/>
    <w:rsid w:val="005A2670"/>
    <w:rsid w:val="005A4696"/>
    <w:rsid w:val="005A6B47"/>
    <w:rsid w:val="005A7466"/>
    <w:rsid w:val="005B0BF6"/>
    <w:rsid w:val="005B0D3C"/>
    <w:rsid w:val="005B1266"/>
    <w:rsid w:val="005B1485"/>
    <w:rsid w:val="005B2767"/>
    <w:rsid w:val="005B3559"/>
    <w:rsid w:val="005B3E45"/>
    <w:rsid w:val="005B47CF"/>
    <w:rsid w:val="005B4D97"/>
    <w:rsid w:val="005B6F33"/>
    <w:rsid w:val="005B747A"/>
    <w:rsid w:val="005B77A4"/>
    <w:rsid w:val="005C500F"/>
    <w:rsid w:val="005C54E9"/>
    <w:rsid w:val="005C734A"/>
    <w:rsid w:val="005C7C10"/>
    <w:rsid w:val="005D1D2F"/>
    <w:rsid w:val="005D1DCD"/>
    <w:rsid w:val="005D3ACE"/>
    <w:rsid w:val="005D446E"/>
    <w:rsid w:val="005D5249"/>
    <w:rsid w:val="005D78C8"/>
    <w:rsid w:val="005D7B4B"/>
    <w:rsid w:val="005E0B7E"/>
    <w:rsid w:val="005E0F3F"/>
    <w:rsid w:val="005E1C2C"/>
    <w:rsid w:val="005E242E"/>
    <w:rsid w:val="005E4A0D"/>
    <w:rsid w:val="005E4BDE"/>
    <w:rsid w:val="005E643A"/>
    <w:rsid w:val="005F02CB"/>
    <w:rsid w:val="005F1A6B"/>
    <w:rsid w:val="005F3009"/>
    <w:rsid w:val="005F3997"/>
    <w:rsid w:val="005F3C06"/>
    <w:rsid w:val="005F3DBF"/>
    <w:rsid w:val="005F43A9"/>
    <w:rsid w:val="005F6B62"/>
    <w:rsid w:val="006002D9"/>
    <w:rsid w:val="006022B4"/>
    <w:rsid w:val="0060614C"/>
    <w:rsid w:val="00607DAF"/>
    <w:rsid w:val="00610814"/>
    <w:rsid w:val="00611A38"/>
    <w:rsid w:val="0061221B"/>
    <w:rsid w:val="0061291A"/>
    <w:rsid w:val="00620296"/>
    <w:rsid w:val="006203E7"/>
    <w:rsid w:val="006230D8"/>
    <w:rsid w:val="00625AC0"/>
    <w:rsid w:val="006279BC"/>
    <w:rsid w:val="00627F81"/>
    <w:rsid w:val="00630B88"/>
    <w:rsid w:val="0063415E"/>
    <w:rsid w:val="006345F6"/>
    <w:rsid w:val="006418AB"/>
    <w:rsid w:val="006440DB"/>
    <w:rsid w:val="0064532E"/>
    <w:rsid w:val="006454A7"/>
    <w:rsid w:val="00645F78"/>
    <w:rsid w:val="00646E63"/>
    <w:rsid w:val="00650D9C"/>
    <w:rsid w:val="00652559"/>
    <w:rsid w:val="0065727B"/>
    <w:rsid w:val="0065780E"/>
    <w:rsid w:val="00660587"/>
    <w:rsid w:val="006630E3"/>
    <w:rsid w:val="0066355D"/>
    <w:rsid w:val="0066379A"/>
    <w:rsid w:val="006653B6"/>
    <w:rsid w:val="00666680"/>
    <w:rsid w:val="0067113E"/>
    <w:rsid w:val="00673EAE"/>
    <w:rsid w:val="006756C3"/>
    <w:rsid w:val="00675AAE"/>
    <w:rsid w:val="00676849"/>
    <w:rsid w:val="00676F26"/>
    <w:rsid w:val="00676FC7"/>
    <w:rsid w:val="00680453"/>
    <w:rsid w:val="00681867"/>
    <w:rsid w:val="00681D7B"/>
    <w:rsid w:val="0068303B"/>
    <w:rsid w:val="006841A2"/>
    <w:rsid w:val="00684CC9"/>
    <w:rsid w:val="00685D75"/>
    <w:rsid w:val="00687085"/>
    <w:rsid w:val="00690748"/>
    <w:rsid w:val="00692B4A"/>
    <w:rsid w:val="00695A3C"/>
    <w:rsid w:val="0069696C"/>
    <w:rsid w:val="00696EE5"/>
    <w:rsid w:val="006972A0"/>
    <w:rsid w:val="00697C07"/>
    <w:rsid w:val="006A0432"/>
    <w:rsid w:val="006A0F27"/>
    <w:rsid w:val="006A2432"/>
    <w:rsid w:val="006A2EAF"/>
    <w:rsid w:val="006A33FF"/>
    <w:rsid w:val="006A5C17"/>
    <w:rsid w:val="006A63D0"/>
    <w:rsid w:val="006A6C19"/>
    <w:rsid w:val="006B2480"/>
    <w:rsid w:val="006B2723"/>
    <w:rsid w:val="006B29FD"/>
    <w:rsid w:val="006B5D7B"/>
    <w:rsid w:val="006C01E2"/>
    <w:rsid w:val="006C06E3"/>
    <w:rsid w:val="006C2030"/>
    <w:rsid w:val="006C2ECF"/>
    <w:rsid w:val="006C508A"/>
    <w:rsid w:val="006C68D4"/>
    <w:rsid w:val="006C6942"/>
    <w:rsid w:val="006D0250"/>
    <w:rsid w:val="006D029A"/>
    <w:rsid w:val="006D0FDC"/>
    <w:rsid w:val="006D1C29"/>
    <w:rsid w:val="006D29B9"/>
    <w:rsid w:val="006D2AF8"/>
    <w:rsid w:val="006D679F"/>
    <w:rsid w:val="006E2EC8"/>
    <w:rsid w:val="006E3464"/>
    <w:rsid w:val="006E4EAF"/>
    <w:rsid w:val="006E5459"/>
    <w:rsid w:val="006F0087"/>
    <w:rsid w:val="006F0A46"/>
    <w:rsid w:val="006F2091"/>
    <w:rsid w:val="006F529B"/>
    <w:rsid w:val="006F55F4"/>
    <w:rsid w:val="006F592D"/>
    <w:rsid w:val="006F6525"/>
    <w:rsid w:val="006F719B"/>
    <w:rsid w:val="0070645D"/>
    <w:rsid w:val="00706B26"/>
    <w:rsid w:val="007101DB"/>
    <w:rsid w:val="007116C5"/>
    <w:rsid w:val="00712DBD"/>
    <w:rsid w:val="0071498A"/>
    <w:rsid w:val="00715D14"/>
    <w:rsid w:val="00716E2D"/>
    <w:rsid w:val="0071721E"/>
    <w:rsid w:val="00720F42"/>
    <w:rsid w:val="00721368"/>
    <w:rsid w:val="00723EB2"/>
    <w:rsid w:val="007242B6"/>
    <w:rsid w:val="007256BE"/>
    <w:rsid w:val="00726705"/>
    <w:rsid w:val="00730904"/>
    <w:rsid w:val="00731445"/>
    <w:rsid w:val="007324DF"/>
    <w:rsid w:val="00732E96"/>
    <w:rsid w:val="0073434A"/>
    <w:rsid w:val="00736BB2"/>
    <w:rsid w:val="00740969"/>
    <w:rsid w:val="00742205"/>
    <w:rsid w:val="0074225A"/>
    <w:rsid w:val="007439F3"/>
    <w:rsid w:val="00743EEC"/>
    <w:rsid w:val="00744CF8"/>
    <w:rsid w:val="00747BC2"/>
    <w:rsid w:val="00750DC6"/>
    <w:rsid w:val="007510F7"/>
    <w:rsid w:val="00751FE7"/>
    <w:rsid w:val="00754873"/>
    <w:rsid w:val="0075676F"/>
    <w:rsid w:val="00756E98"/>
    <w:rsid w:val="00757FCC"/>
    <w:rsid w:val="0076103B"/>
    <w:rsid w:val="007614A2"/>
    <w:rsid w:val="00764CE4"/>
    <w:rsid w:val="007650FA"/>
    <w:rsid w:val="00767029"/>
    <w:rsid w:val="007670B8"/>
    <w:rsid w:val="00767574"/>
    <w:rsid w:val="007723C9"/>
    <w:rsid w:val="00772A40"/>
    <w:rsid w:val="00772E5F"/>
    <w:rsid w:val="00774E50"/>
    <w:rsid w:val="00777885"/>
    <w:rsid w:val="00781363"/>
    <w:rsid w:val="007815ED"/>
    <w:rsid w:val="00783257"/>
    <w:rsid w:val="00783EDB"/>
    <w:rsid w:val="00784269"/>
    <w:rsid w:val="00784C26"/>
    <w:rsid w:val="00787DD8"/>
    <w:rsid w:val="007900F0"/>
    <w:rsid w:val="007925A1"/>
    <w:rsid w:val="00792A20"/>
    <w:rsid w:val="007932B2"/>
    <w:rsid w:val="00793F39"/>
    <w:rsid w:val="0079401A"/>
    <w:rsid w:val="007956B7"/>
    <w:rsid w:val="007A104C"/>
    <w:rsid w:val="007A1FD8"/>
    <w:rsid w:val="007A232F"/>
    <w:rsid w:val="007A4B4F"/>
    <w:rsid w:val="007A58BC"/>
    <w:rsid w:val="007A7FAF"/>
    <w:rsid w:val="007B0252"/>
    <w:rsid w:val="007B1455"/>
    <w:rsid w:val="007B1D46"/>
    <w:rsid w:val="007B25B9"/>
    <w:rsid w:val="007B5245"/>
    <w:rsid w:val="007B5FC5"/>
    <w:rsid w:val="007B6C38"/>
    <w:rsid w:val="007B709D"/>
    <w:rsid w:val="007B78E2"/>
    <w:rsid w:val="007C0A29"/>
    <w:rsid w:val="007C3784"/>
    <w:rsid w:val="007C3E32"/>
    <w:rsid w:val="007C528C"/>
    <w:rsid w:val="007C630C"/>
    <w:rsid w:val="007C6CFE"/>
    <w:rsid w:val="007C767E"/>
    <w:rsid w:val="007C7D50"/>
    <w:rsid w:val="007D0DA8"/>
    <w:rsid w:val="007D2078"/>
    <w:rsid w:val="007E02F7"/>
    <w:rsid w:val="007E0769"/>
    <w:rsid w:val="007E0807"/>
    <w:rsid w:val="007E1493"/>
    <w:rsid w:val="007E18B6"/>
    <w:rsid w:val="007E3875"/>
    <w:rsid w:val="007E4453"/>
    <w:rsid w:val="007E7A5D"/>
    <w:rsid w:val="007F17C3"/>
    <w:rsid w:val="007F255B"/>
    <w:rsid w:val="007F336D"/>
    <w:rsid w:val="007F7201"/>
    <w:rsid w:val="00803992"/>
    <w:rsid w:val="00804183"/>
    <w:rsid w:val="008046CF"/>
    <w:rsid w:val="00805988"/>
    <w:rsid w:val="00805CFA"/>
    <w:rsid w:val="008064B0"/>
    <w:rsid w:val="00810D0A"/>
    <w:rsid w:val="008130FB"/>
    <w:rsid w:val="0081441D"/>
    <w:rsid w:val="00814E30"/>
    <w:rsid w:val="00815742"/>
    <w:rsid w:val="008208FC"/>
    <w:rsid w:val="00822ABD"/>
    <w:rsid w:val="008231C8"/>
    <w:rsid w:val="008236CD"/>
    <w:rsid w:val="00823F54"/>
    <w:rsid w:val="00824D30"/>
    <w:rsid w:val="00826583"/>
    <w:rsid w:val="00831289"/>
    <w:rsid w:val="00831A51"/>
    <w:rsid w:val="00836CEC"/>
    <w:rsid w:val="00841C1F"/>
    <w:rsid w:val="00842A0F"/>
    <w:rsid w:val="00842C99"/>
    <w:rsid w:val="00842F49"/>
    <w:rsid w:val="0084351F"/>
    <w:rsid w:val="00843FA4"/>
    <w:rsid w:val="0084443C"/>
    <w:rsid w:val="00844DEB"/>
    <w:rsid w:val="00845313"/>
    <w:rsid w:val="00846478"/>
    <w:rsid w:val="00847899"/>
    <w:rsid w:val="00855D60"/>
    <w:rsid w:val="00856B65"/>
    <w:rsid w:val="00857D05"/>
    <w:rsid w:val="00860592"/>
    <w:rsid w:val="00865782"/>
    <w:rsid w:val="00865D9D"/>
    <w:rsid w:val="00866D0A"/>
    <w:rsid w:val="00866D4E"/>
    <w:rsid w:val="008671C5"/>
    <w:rsid w:val="00870393"/>
    <w:rsid w:val="008733A3"/>
    <w:rsid w:val="008733E2"/>
    <w:rsid w:val="00873EC2"/>
    <w:rsid w:val="0087425C"/>
    <w:rsid w:val="008742FD"/>
    <w:rsid w:val="00874956"/>
    <w:rsid w:val="0087580F"/>
    <w:rsid w:val="00875B37"/>
    <w:rsid w:val="00880A31"/>
    <w:rsid w:val="00881A06"/>
    <w:rsid w:val="00882919"/>
    <w:rsid w:val="008835C4"/>
    <w:rsid w:val="0088398B"/>
    <w:rsid w:val="00883A0F"/>
    <w:rsid w:val="00883BB3"/>
    <w:rsid w:val="00884597"/>
    <w:rsid w:val="00884AF8"/>
    <w:rsid w:val="00886101"/>
    <w:rsid w:val="00886804"/>
    <w:rsid w:val="008878D2"/>
    <w:rsid w:val="008917DC"/>
    <w:rsid w:val="00893D7D"/>
    <w:rsid w:val="00894785"/>
    <w:rsid w:val="0089761A"/>
    <w:rsid w:val="008A0362"/>
    <w:rsid w:val="008A0AF7"/>
    <w:rsid w:val="008A17DB"/>
    <w:rsid w:val="008A411D"/>
    <w:rsid w:val="008A4B6E"/>
    <w:rsid w:val="008A5227"/>
    <w:rsid w:val="008A5923"/>
    <w:rsid w:val="008A5B1D"/>
    <w:rsid w:val="008A5E1D"/>
    <w:rsid w:val="008A7BDA"/>
    <w:rsid w:val="008B08FB"/>
    <w:rsid w:val="008B0B2B"/>
    <w:rsid w:val="008B2B7E"/>
    <w:rsid w:val="008B3714"/>
    <w:rsid w:val="008B4559"/>
    <w:rsid w:val="008B4FED"/>
    <w:rsid w:val="008B7A8E"/>
    <w:rsid w:val="008C1DE1"/>
    <w:rsid w:val="008C1EE5"/>
    <w:rsid w:val="008C2780"/>
    <w:rsid w:val="008C2DCA"/>
    <w:rsid w:val="008C5118"/>
    <w:rsid w:val="008C5C00"/>
    <w:rsid w:val="008C78B7"/>
    <w:rsid w:val="008D180D"/>
    <w:rsid w:val="008D70E3"/>
    <w:rsid w:val="008E062A"/>
    <w:rsid w:val="008E07D3"/>
    <w:rsid w:val="008E0B77"/>
    <w:rsid w:val="008E3310"/>
    <w:rsid w:val="008E5886"/>
    <w:rsid w:val="008E5C9B"/>
    <w:rsid w:val="008F0D46"/>
    <w:rsid w:val="008F11D9"/>
    <w:rsid w:val="008F25E9"/>
    <w:rsid w:val="008F37B9"/>
    <w:rsid w:val="008F5149"/>
    <w:rsid w:val="008F6569"/>
    <w:rsid w:val="008F6984"/>
    <w:rsid w:val="008F6CAF"/>
    <w:rsid w:val="008F7A0E"/>
    <w:rsid w:val="0090126A"/>
    <w:rsid w:val="00901A62"/>
    <w:rsid w:val="00901F51"/>
    <w:rsid w:val="00904E56"/>
    <w:rsid w:val="00905F1E"/>
    <w:rsid w:val="00906DFA"/>
    <w:rsid w:val="00910019"/>
    <w:rsid w:val="00910F7F"/>
    <w:rsid w:val="00911BD5"/>
    <w:rsid w:val="00911E90"/>
    <w:rsid w:val="00912E9B"/>
    <w:rsid w:val="00912F6C"/>
    <w:rsid w:val="00913439"/>
    <w:rsid w:val="0091383E"/>
    <w:rsid w:val="00913915"/>
    <w:rsid w:val="00915954"/>
    <w:rsid w:val="009170F5"/>
    <w:rsid w:val="00917E66"/>
    <w:rsid w:val="00917F43"/>
    <w:rsid w:val="00921967"/>
    <w:rsid w:val="009220C3"/>
    <w:rsid w:val="00922960"/>
    <w:rsid w:val="0092622A"/>
    <w:rsid w:val="009263C2"/>
    <w:rsid w:val="00927249"/>
    <w:rsid w:val="0092772B"/>
    <w:rsid w:val="0093019B"/>
    <w:rsid w:val="00931146"/>
    <w:rsid w:val="009316D1"/>
    <w:rsid w:val="0093212F"/>
    <w:rsid w:val="00932AC8"/>
    <w:rsid w:val="0093387A"/>
    <w:rsid w:val="009348F1"/>
    <w:rsid w:val="00936340"/>
    <w:rsid w:val="009404DC"/>
    <w:rsid w:val="00940D51"/>
    <w:rsid w:val="009418E8"/>
    <w:rsid w:val="00942039"/>
    <w:rsid w:val="00945C97"/>
    <w:rsid w:val="0094719C"/>
    <w:rsid w:val="00950E70"/>
    <w:rsid w:val="00951503"/>
    <w:rsid w:val="009533D0"/>
    <w:rsid w:val="00954FF3"/>
    <w:rsid w:val="00955158"/>
    <w:rsid w:val="00960314"/>
    <w:rsid w:val="0096162B"/>
    <w:rsid w:val="009619AB"/>
    <w:rsid w:val="00964F94"/>
    <w:rsid w:val="0096535F"/>
    <w:rsid w:val="009664BB"/>
    <w:rsid w:val="00966DE9"/>
    <w:rsid w:val="00967ED2"/>
    <w:rsid w:val="00970448"/>
    <w:rsid w:val="00971D11"/>
    <w:rsid w:val="00972462"/>
    <w:rsid w:val="0097252D"/>
    <w:rsid w:val="00972DD9"/>
    <w:rsid w:val="009733FB"/>
    <w:rsid w:val="009752FB"/>
    <w:rsid w:val="00977009"/>
    <w:rsid w:val="00977432"/>
    <w:rsid w:val="0097779D"/>
    <w:rsid w:val="009818B8"/>
    <w:rsid w:val="00982516"/>
    <w:rsid w:val="00984CE9"/>
    <w:rsid w:val="0098533B"/>
    <w:rsid w:val="00986D87"/>
    <w:rsid w:val="00986F24"/>
    <w:rsid w:val="009910E0"/>
    <w:rsid w:val="00991353"/>
    <w:rsid w:val="0099191B"/>
    <w:rsid w:val="00992303"/>
    <w:rsid w:val="00993EDB"/>
    <w:rsid w:val="00994813"/>
    <w:rsid w:val="009954A1"/>
    <w:rsid w:val="009A05E6"/>
    <w:rsid w:val="009A45D3"/>
    <w:rsid w:val="009A6FA1"/>
    <w:rsid w:val="009A7791"/>
    <w:rsid w:val="009B0F6D"/>
    <w:rsid w:val="009B1307"/>
    <w:rsid w:val="009B2A33"/>
    <w:rsid w:val="009B653E"/>
    <w:rsid w:val="009B731A"/>
    <w:rsid w:val="009C0268"/>
    <w:rsid w:val="009C14AD"/>
    <w:rsid w:val="009C2781"/>
    <w:rsid w:val="009C403B"/>
    <w:rsid w:val="009C5808"/>
    <w:rsid w:val="009C6A5A"/>
    <w:rsid w:val="009C7533"/>
    <w:rsid w:val="009C7800"/>
    <w:rsid w:val="009D0462"/>
    <w:rsid w:val="009D0713"/>
    <w:rsid w:val="009D0C6E"/>
    <w:rsid w:val="009D2D93"/>
    <w:rsid w:val="009D424D"/>
    <w:rsid w:val="009D4936"/>
    <w:rsid w:val="009D4D21"/>
    <w:rsid w:val="009D572F"/>
    <w:rsid w:val="009D75C0"/>
    <w:rsid w:val="009E055F"/>
    <w:rsid w:val="009E5B67"/>
    <w:rsid w:val="009F0816"/>
    <w:rsid w:val="009F0B84"/>
    <w:rsid w:val="009F25C5"/>
    <w:rsid w:val="009F268B"/>
    <w:rsid w:val="009F5815"/>
    <w:rsid w:val="009F5AF0"/>
    <w:rsid w:val="009F7B68"/>
    <w:rsid w:val="00A00BDE"/>
    <w:rsid w:val="00A00FFD"/>
    <w:rsid w:val="00A025DF"/>
    <w:rsid w:val="00A03435"/>
    <w:rsid w:val="00A03803"/>
    <w:rsid w:val="00A04705"/>
    <w:rsid w:val="00A04DF6"/>
    <w:rsid w:val="00A04F2C"/>
    <w:rsid w:val="00A05338"/>
    <w:rsid w:val="00A05EF3"/>
    <w:rsid w:val="00A0785C"/>
    <w:rsid w:val="00A0790A"/>
    <w:rsid w:val="00A07B02"/>
    <w:rsid w:val="00A1305B"/>
    <w:rsid w:val="00A146A1"/>
    <w:rsid w:val="00A16196"/>
    <w:rsid w:val="00A203F0"/>
    <w:rsid w:val="00A20A67"/>
    <w:rsid w:val="00A220D5"/>
    <w:rsid w:val="00A22B31"/>
    <w:rsid w:val="00A22CB3"/>
    <w:rsid w:val="00A23192"/>
    <w:rsid w:val="00A23BA0"/>
    <w:rsid w:val="00A23C7A"/>
    <w:rsid w:val="00A24375"/>
    <w:rsid w:val="00A24E51"/>
    <w:rsid w:val="00A24E63"/>
    <w:rsid w:val="00A24F60"/>
    <w:rsid w:val="00A25ED6"/>
    <w:rsid w:val="00A279A0"/>
    <w:rsid w:val="00A27E50"/>
    <w:rsid w:val="00A3131E"/>
    <w:rsid w:val="00A315E6"/>
    <w:rsid w:val="00A326A1"/>
    <w:rsid w:val="00A33577"/>
    <w:rsid w:val="00A337E6"/>
    <w:rsid w:val="00A3421E"/>
    <w:rsid w:val="00A34469"/>
    <w:rsid w:val="00A34E86"/>
    <w:rsid w:val="00A36FF0"/>
    <w:rsid w:val="00A370D2"/>
    <w:rsid w:val="00A3781C"/>
    <w:rsid w:val="00A418E8"/>
    <w:rsid w:val="00A42F37"/>
    <w:rsid w:val="00A44563"/>
    <w:rsid w:val="00A469C6"/>
    <w:rsid w:val="00A50023"/>
    <w:rsid w:val="00A516B6"/>
    <w:rsid w:val="00A52544"/>
    <w:rsid w:val="00A52818"/>
    <w:rsid w:val="00A529A0"/>
    <w:rsid w:val="00A52A81"/>
    <w:rsid w:val="00A538DD"/>
    <w:rsid w:val="00A5518F"/>
    <w:rsid w:val="00A5556F"/>
    <w:rsid w:val="00A613AB"/>
    <w:rsid w:val="00A626EF"/>
    <w:rsid w:val="00A63C9C"/>
    <w:rsid w:val="00A64CA3"/>
    <w:rsid w:val="00A657A7"/>
    <w:rsid w:val="00A66ABE"/>
    <w:rsid w:val="00A678AF"/>
    <w:rsid w:val="00A71359"/>
    <w:rsid w:val="00A71D2E"/>
    <w:rsid w:val="00A73E3F"/>
    <w:rsid w:val="00A74E0A"/>
    <w:rsid w:val="00A77ACB"/>
    <w:rsid w:val="00A80BA8"/>
    <w:rsid w:val="00A814FB"/>
    <w:rsid w:val="00A82C90"/>
    <w:rsid w:val="00A83C2A"/>
    <w:rsid w:val="00A85D46"/>
    <w:rsid w:val="00A85E48"/>
    <w:rsid w:val="00A87CB8"/>
    <w:rsid w:val="00A910A7"/>
    <w:rsid w:val="00AA0B89"/>
    <w:rsid w:val="00AA10B8"/>
    <w:rsid w:val="00AA1638"/>
    <w:rsid w:val="00AA1F52"/>
    <w:rsid w:val="00AA347F"/>
    <w:rsid w:val="00AA405C"/>
    <w:rsid w:val="00AA4454"/>
    <w:rsid w:val="00AA5308"/>
    <w:rsid w:val="00AB04F8"/>
    <w:rsid w:val="00AB36D4"/>
    <w:rsid w:val="00AB3E61"/>
    <w:rsid w:val="00AB64D1"/>
    <w:rsid w:val="00AC0331"/>
    <w:rsid w:val="00AC0BA0"/>
    <w:rsid w:val="00AC1213"/>
    <w:rsid w:val="00AC1D0C"/>
    <w:rsid w:val="00AC277D"/>
    <w:rsid w:val="00AC34A1"/>
    <w:rsid w:val="00AC4497"/>
    <w:rsid w:val="00AC611E"/>
    <w:rsid w:val="00AC7D3E"/>
    <w:rsid w:val="00AC7D98"/>
    <w:rsid w:val="00AC7F58"/>
    <w:rsid w:val="00AD3BD5"/>
    <w:rsid w:val="00AD3FE7"/>
    <w:rsid w:val="00AD44E3"/>
    <w:rsid w:val="00AD4566"/>
    <w:rsid w:val="00AD4BBD"/>
    <w:rsid w:val="00AD5540"/>
    <w:rsid w:val="00AD59F4"/>
    <w:rsid w:val="00AE0D1C"/>
    <w:rsid w:val="00AE134E"/>
    <w:rsid w:val="00AE3B58"/>
    <w:rsid w:val="00AE4F10"/>
    <w:rsid w:val="00AE65EB"/>
    <w:rsid w:val="00AE6B62"/>
    <w:rsid w:val="00AE7991"/>
    <w:rsid w:val="00AE7D13"/>
    <w:rsid w:val="00AF27F6"/>
    <w:rsid w:val="00AF2CB1"/>
    <w:rsid w:val="00AF2EBA"/>
    <w:rsid w:val="00AF4BD8"/>
    <w:rsid w:val="00AF645A"/>
    <w:rsid w:val="00AF73CC"/>
    <w:rsid w:val="00B00E03"/>
    <w:rsid w:val="00B013B0"/>
    <w:rsid w:val="00B01BC7"/>
    <w:rsid w:val="00B042C4"/>
    <w:rsid w:val="00B0666B"/>
    <w:rsid w:val="00B071F4"/>
    <w:rsid w:val="00B12293"/>
    <w:rsid w:val="00B14797"/>
    <w:rsid w:val="00B20461"/>
    <w:rsid w:val="00B2091B"/>
    <w:rsid w:val="00B24141"/>
    <w:rsid w:val="00B241E2"/>
    <w:rsid w:val="00B27B33"/>
    <w:rsid w:val="00B30275"/>
    <w:rsid w:val="00B30EA9"/>
    <w:rsid w:val="00B31B31"/>
    <w:rsid w:val="00B32AA0"/>
    <w:rsid w:val="00B35DDA"/>
    <w:rsid w:val="00B3651B"/>
    <w:rsid w:val="00B36534"/>
    <w:rsid w:val="00B36FFC"/>
    <w:rsid w:val="00B37B39"/>
    <w:rsid w:val="00B42A73"/>
    <w:rsid w:val="00B42C0D"/>
    <w:rsid w:val="00B42DE5"/>
    <w:rsid w:val="00B44D1C"/>
    <w:rsid w:val="00B4546F"/>
    <w:rsid w:val="00B458F6"/>
    <w:rsid w:val="00B468F7"/>
    <w:rsid w:val="00B47321"/>
    <w:rsid w:val="00B47368"/>
    <w:rsid w:val="00B505D0"/>
    <w:rsid w:val="00B505D8"/>
    <w:rsid w:val="00B509CC"/>
    <w:rsid w:val="00B5137A"/>
    <w:rsid w:val="00B519D9"/>
    <w:rsid w:val="00B5286A"/>
    <w:rsid w:val="00B53185"/>
    <w:rsid w:val="00B54439"/>
    <w:rsid w:val="00B54FCF"/>
    <w:rsid w:val="00B565D2"/>
    <w:rsid w:val="00B56F5B"/>
    <w:rsid w:val="00B579AB"/>
    <w:rsid w:val="00B615B9"/>
    <w:rsid w:val="00B621DF"/>
    <w:rsid w:val="00B647F7"/>
    <w:rsid w:val="00B65972"/>
    <w:rsid w:val="00B65EAC"/>
    <w:rsid w:val="00B707A6"/>
    <w:rsid w:val="00B710F4"/>
    <w:rsid w:val="00B7304A"/>
    <w:rsid w:val="00B73E9F"/>
    <w:rsid w:val="00B751A3"/>
    <w:rsid w:val="00B763DD"/>
    <w:rsid w:val="00B766E3"/>
    <w:rsid w:val="00B8013C"/>
    <w:rsid w:val="00B80747"/>
    <w:rsid w:val="00B80AB8"/>
    <w:rsid w:val="00B810D0"/>
    <w:rsid w:val="00B81FC8"/>
    <w:rsid w:val="00B82050"/>
    <w:rsid w:val="00B833E9"/>
    <w:rsid w:val="00B84A59"/>
    <w:rsid w:val="00B85160"/>
    <w:rsid w:val="00B8522F"/>
    <w:rsid w:val="00B8541A"/>
    <w:rsid w:val="00B86DB4"/>
    <w:rsid w:val="00B8787E"/>
    <w:rsid w:val="00B87986"/>
    <w:rsid w:val="00B9008A"/>
    <w:rsid w:val="00B90855"/>
    <w:rsid w:val="00B924F0"/>
    <w:rsid w:val="00B9330A"/>
    <w:rsid w:val="00B940A5"/>
    <w:rsid w:val="00B94F3F"/>
    <w:rsid w:val="00B96376"/>
    <w:rsid w:val="00B96948"/>
    <w:rsid w:val="00B97D8C"/>
    <w:rsid w:val="00BA0001"/>
    <w:rsid w:val="00BA0044"/>
    <w:rsid w:val="00BA02C3"/>
    <w:rsid w:val="00BA1BF6"/>
    <w:rsid w:val="00BA4FEA"/>
    <w:rsid w:val="00BA5415"/>
    <w:rsid w:val="00BA5C75"/>
    <w:rsid w:val="00BA7699"/>
    <w:rsid w:val="00BA7A7B"/>
    <w:rsid w:val="00BA7B1A"/>
    <w:rsid w:val="00BB200B"/>
    <w:rsid w:val="00BB296C"/>
    <w:rsid w:val="00BB3CFB"/>
    <w:rsid w:val="00BC1354"/>
    <w:rsid w:val="00BC3200"/>
    <w:rsid w:val="00BC5364"/>
    <w:rsid w:val="00BC558B"/>
    <w:rsid w:val="00BC59BF"/>
    <w:rsid w:val="00BC702C"/>
    <w:rsid w:val="00BC7088"/>
    <w:rsid w:val="00BC7523"/>
    <w:rsid w:val="00BC7B00"/>
    <w:rsid w:val="00BC7F79"/>
    <w:rsid w:val="00BD197E"/>
    <w:rsid w:val="00BD1D68"/>
    <w:rsid w:val="00BD3482"/>
    <w:rsid w:val="00BD36E3"/>
    <w:rsid w:val="00BD4A6A"/>
    <w:rsid w:val="00BD4D7B"/>
    <w:rsid w:val="00BD649B"/>
    <w:rsid w:val="00BD6E71"/>
    <w:rsid w:val="00BD7C96"/>
    <w:rsid w:val="00BE04FE"/>
    <w:rsid w:val="00BE0D38"/>
    <w:rsid w:val="00BE1C21"/>
    <w:rsid w:val="00BE4A62"/>
    <w:rsid w:val="00BF06E1"/>
    <w:rsid w:val="00BF0D0B"/>
    <w:rsid w:val="00BF2B0B"/>
    <w:rsid w:val="00BF4B0D"/>
    <w:rsid w:val="00BF556C"/>
    <w:rsid w:val="00BF5B43"/>
    <w:rsid w:val="00BF677A"/>
    <w:rsid w:val="00BF7224"/>
    <w:rsid w:val="00C01949"/>
    <w:rsid w:val="00C04DFF"/>
    <w:rsid w:val="00C05357"/>
    <w:rsid w:val="00C057C7"/>
    <w:rsid w:val="00C07496"/>
    <w:rsid w:val="00C074A4"/>
    <w:rsid w:val="00C07AB7"/>
    <w:rsid w:val="00C108C2"/>
    <w:rsid w:val="00C10F5D"/>
    <w:rsid w:val="00C11A83"/>
    <w:rsid w:val="00C12283"/>
    <w:rsid w:val="00C1274F"/>
    <w:rsid w:val="00C144B7"/>
    <w:rsid w:val="00C177D9"/>
    <w:rsid w:val="00C17C01"/>
    <w:rsid w:val="00C20145"/>
    <w:rsid w:val="00C2032A"/>
    <w:rsid w:val="00C209BA"/>
    <w:rsid w:val="00C2120A"/>
    <w:rsid w:val="00C23494"/>
    <w:rsid w:val="00C23B96"/>
    <w:rsid w:val="00C24BF4"/>
    <w:rsid w:val="00C30901"/>
    <w:rsid w:val="00C31527"/>
    <w:rsid w:val="00C31F40"/>
    <w:rsid w:val="00C32F58"/>
    <w:rsid w:val="00C35377"/>
    <w:rsid w:val="00C40BAA"/>
    <w:rsid w:val="00C41C1F"/>
    <w:rsid w:val="00C42DD5"/>
    <w:rsid w:val="00C43B94"/>
    <w:rsid w:val="00C46174"/>
    <w:rsid w:val="00C474DE"/>
    <w:rsid w:val="00C50366"/>
    <w:rsid w:val="00C503B1"/>
    <w:rsid w:val="00C536A0"/>
    <w:rsid w:val="00C54DBA"/>
    <w:rsid w:val="00C552AA"/>
    <w:rsid w:val="00C6195E"/>
    <w:rsid w:val="00C62DD7"/>
    <w:rsid w:val="00C64203"/>
    <w:rsid w:val="00C643B5"/>
    <w:rsid w:val="00C652BD"/>
    <w:rsid w:val="00C675EA"/>
    <w:rsid w:val="00C7661E"/>
    <w:rsid w:val="00C80FAA"/>
    <w:rsid w:val="00C810B5"/>
    <w:rsid w:val="00C810C6"/>
    <w:rsid w:val="00C81115"/>
    <w:rsid w:val="00C8201B"/>
    <w:rsid w:val="00C82D73"/>
    <w:rsid w:val="00C86C47"/>
    <w:rsid w:val="00C86D51"/>
    <w:rsid w:val="00C87607"/>
    <w:rsid w:val="00C87A2C"/>
    <w:rsid w:val="00C9029A"/>
    <w:rsid w:val="00C91BB5"/>
    <w:rsid w:val="00C92F26"/>
    <w:rsid w:val="00C94A78"/>
    <w:rsid w:val="00C9594D"/>
    <w:rsid w:val="00CA2074"/>
    <w:rsid w:val="00CA2B4A"/>
    <w:rsid w:val="00CA328D"/>
    <w:rsid w:val="00CA58C8"/>
    <w:rsid w:val="00CA5D34"/>
    <w:rsid w:val="00CA727F"/>
    <w:rsid w:val="00CA7512"/>
    <w:rsid w:val="00CA7BF7"/>
    <w:rsid w:val="00CB03E9"/>
    <w:rsid w:val="00CB2B26"/>
    <w:rsid w:val="00CB618F"/>
    <w:rsid w:val="00CC0D8A"/>
    <w:rsid w:val="00CC21BF"/>
    <w:rsid w:val="00CC3813"/>
    <w:rsid w:val="00CC3A2B"/>
    <w:rsid w:val="00CC423F"/>
    <w:rsid w:val="00CC7C62"/>
    <w:rsid w:val="00CD0FB6"/>
    <w:rsid w:val="00CD30B2"/>
    <w:rsid w:val="00CD5D56"/>
    <w:rsid w:val="00CD5E46"/>
    <w:rsid w:val="00CD78FC"/>
    <w:rsid w:val="00CD7A6C"/>
    <w:rsid w:val="00CE26B4"/>
    <w:rsid w:val="00CE401B"/>
    <w:rsid w:val="00CE46C8"/>
    <w:rsid w:val="00CE67C3"/>
    <w:rsid w:val="00CE67E2"/>
    <w:rsid w:val="00CE7AAE"/>
    <w:rsid w:val="00CF01C1"/>
    <w:rsid w:val="00CF06B3"/>
    <w:rsid w:val="00CF15D1"/>
    <w:rsid w:val="00CF2283"/>
    <w:rsid w:val="00CF2F5B"/>
    <w:rsid w:val="00CF33D8"/>
    <w:rsid w:val="00CF3FA3"/>
    <w:rsid w:val="00CF4C4E"/>
    <w:rsid w:val="00CF4E6B"/>
    <w:rsid w:val="00CF60D0"/>
    <w:rsid w:val="00CF630D"/>
    <w:rsid w:val="00CF7762"/>
    <w:rsid w:val="00CF7CF2"/>
    <w:rsid w:val="00D03983"/>
    <w:rsid w:val="00D04271"/>
    <w:rsid w:val="00D044E3"/>
    <w:rsid w:val="00D05F90"/>
    <w:rsid w:val="00D066B0"/>
    <w:rsid w:val="00D07BCB"/>
    <w:rsid w:val="00D137B4"/>
    <w:rsid w:val="00D13B77"/>
    <w:rsid w:val="00D17D01"/>
    <w:rsid w:val="00D20BF7"/>
    <w:rsid w:val="00D30280"/>
    <w:rsid w:val="00D308D0"/>
    <w:rsid w:val="00D30CC1"/>
    <w:rsid w:val="00D31B40"/>
    <w:rsid w:val="00D32EB0"/>
    <w:rsid w:val="00D33F50"/>
    <w:rsid w:val="00D34DFA"/>
    <w:rsid w:val="00D3653B"/>
    <w:rsid w:val="00D4008B"/>
    <w:rsid w:val="00D425BC"/>
    <w:rsid w:val="00D47626"/>
    <w:rsid w:val="00D50B1E"/>
    <w:rsid w:val="00D519F1"/>
    <w:rsid w:val="00D51F01"/>
    <w:rsid w:val="00D53AC8"/>
    <w:rsid w:val="00D53EDA"/>
    <w:rsid w:val="00D548C4"/>
    <w:rsid w:val="00D560B3"/>
    <w:rsid w:val="00D56EFA"/>
    <w:rsid w:val="00D57377"/>
    <w:rsid w:val="00D579A8"/>
    <w:rsid w:val="00D622EE"/>
    <w:rsid w:val="00D63201"/>
    <w:rsid w:val="00D63546"/>
    <w:rsid w:val="00D6373C"/>
    <w:rsid w:val="00D6596B"/>
    <w:rsid w:val="00D65CCF"/>
    <w:rsid w:val="00D7006D"/>
    <w:rsid w:val="00D70E6D"/>
    <w:rsid w:val="00D723D5"/>
    <w:rsid w:val="00D72F23"/>
    <w:rsid w:val="00D73F99"/>
    <w:rsid w:val="00D741E3"/>
    <w:rsid w:val="00D74509"/>
    <w:rsid w:val="00D74F19"/>
    <w:rsid w:val="00D76A4F"/>
    <w:rsid w:val="00D77E3A"/>
    <w:rsid w:val="00D80CB3"/>
    <w:rsid w:val="00D81ABD"/>
    <w:rsid w:val="00D8493A"/>
    <w:rsid w:val="00D86C9C"/>
    <w:rsid w:val="00D87B52"/>
    <w:rsid w:val="00D90F0B"/>
    <w:rsid w:val="00D9115E"/>
    <w:rsid w:val="00D9173A"/>
    <w:rsid w:val="00D92470"/>
    <w:rsid w:val="00D924B2"/>
    <w:rsid w:val="00D95BE0"/>
    <w:rsid w:val="00D95CFE"/>
    <w:rsid w:val="00D963A0"/>
    <w:rsid w:val="00D966F5"/>
    <w:rsid w:val="00D96F9E"/>
    <w:rsid w:val="00D97382"/>
    <w:rsid w:val="00D97769"/>
    <w:rsid w:val="00DA0AFF"/>
    <w:rsid w:val="00DA1AD5"/>
    <w:rsid w:val="00DA1ADA"/>
    <w:rsid w:val="00DA23EB"/>
    <w:rsid w:val="00DA297C"/>
    <w:rsid w:val="00DA335A"/>
    <w:rsid w:val="00DA50F1"/>
    <w:rsid w:val="00DA63EC"/>
    <w:rsid w:val="00DA69B8"/>
    <w:rsid w:val="00DA7AB1"/>
    <w:rsid w:val="00DB106D"/>
    <w:rsid w:val="00DB12DA"/>
    <w:rsid w:val="00DB36B6"/>
    <w:rsid w:val="00DB4CE9"/>
    <w:rsid w:val="00DB5480"/>
    <w:rsid w:val="00DB67EA"/>
    <w:rsid w:val="00DB76D6"/>
    <w:rsid w:val="00DB7CDC"/>
    <w:rsid w:val="00DC0C05"/>
    <w:rsid w:val="00DC0CA2"/>
    <w:rsid w:val="00DC0D20"/>
    <w:rsid w:val="00DC1507"/>
    <w:rsid w:val="00DC3F4F"/>
    <w:rsid w:val="00DC5974"/>
    <w:rsid w:val="00DC75B0"/>
    <w:rsid w:val="00DD1E28"/>
    <w:rsid w:val="00DD22EF"/>
    <w:rsid w:val="00DD2BC5"/>
    <w:rsid w:val="00DD3582"/>
    <w:rsid w:val="00DD39F9"/>
    <w:rsid w:val="00DD3D4E"/>
    <w:rsid w:val="00DD4596"/>
    <w:rsid w:val="00DD50C5"/>
    <w:rsid w:val="00DD546A"/>
    <w:rsid w:val="00DD77F5"/>
    <w:rsid w:val="00DD7B3D"/>
    <w:rsid w:val="00DE0B7E"/>
    <w:rsid w:val="00DE14DF"/>
    <w:rsid w:val="00DE3152"/>
    <w:rsid w:val="00DE5757"/>
    <w:rsid w:val="00DE6D01"/>
    <w:rsid w:val="00DE72B8"/>
    <w:rsid w:val="00DF0AAA"/>
    <w:rsid w:val="00DF0F93"/>
    <w:rsid w:val="00DF39B2"/>
    <w:rsid w:val="00DF6BCB"/>
    <w:rsid w:val="00E01695"/>
    <w:rsid w:val="00E04311"/>
    <w:rsid w:val="00E064A8"/>
    <w:rsid w:val="00E06669"/>
    <w:rsid w:val="00E07323"/>
    <w:rsid w:val="00E079EF"/>
    <w:rsid w:val="00E10712"/>
    <w:rsid w:val="00E10720"/>
    <w:rsid w:val="00E10C87"/>
    <w:rsid w:val="00E125CC"/>
    <w:rsid w:val="00E12816"/>
    <w:rsid w:val="00E14065"/>
    <w:rsid w:val="00E15FE5"/>
    <w:rsid w:val="00E16975"/>
    <w:rsid w:val="00E21A4D"/>
    <w:rsid w:val="00E21BDD"/>
    <w:rsid w:val="00E236A5"/>
    <w:rsid w:val="00E24429"/>
    <w:rsid w:val="00E25696"/>
    <w:rsid w:val="00E26883"/>
    <w:rsid w:val="00E26D1D"/>
    <w:rsid w:val="00E26DD7"/>
    <w:rsid w:val="00E27541"/>
    <w:rsid w:val="00E27B64"/>
    <w:rsid w:val="00E32439"/>
    <w:rsid w:val="00E32D15"/>
    <w:rsid w:val="00E40006"/>
    <w:rsid w:val="00E4100A"/>
    <w:rsid w:val="00E465CF"/>
    <w:rsid w:val="00E51E43"/>
    <w:rsid w:val="00E51F44"/>
    <w:rsid w:val="00E529BD"/>
    <w:rsid w:val="00E559F7"/>
    <w:rsid w:val="00E56965"/>
    <w:rsid w:val="00E56B60"/>
    <w:rsid w:val="00E57448"/>
    <w:rsid w:val="00E57D7B"/>
    <w:rsid w:val="00E6031B"/>
    <w:rsid w:val="00E62B87"/>
    <w:rsid w:val="00E64CBC"/>
    <w:rsid w:val="00E65B2B"/>
    <w:rsid w:val="00E66201"/>
    <w:rsid w:val="00E70862"/>
    <w:rsid w:val="00E73AFD"/>
    <w:rsid w:val="00E7713C"/>
    <w:rsid w:val="00E77271"/>
    <w:rsid w:val="00E77BEA"/>
    <w:rsid w:val="00E824C5"/>
    <w:rsid w:val="00E8292D"/>
    <w:rsid w:val="00E83D74"/>
    <w:rsid w:val="00E84B27"/>
    <w:rsid w:val="00E87C04"/>
    <w:rsid w:val="00E87E85"/>
    <w:rsid w:val="00E87FBD"/>
    <w:rsid w:val="00E91CAF"/>
    <w:rsid w:val="00E922B5"/>
    <w:rsid w:val="00E9319E"/>
    <w:rsid w:val="00E93AD2"/>
    <w:rsid w:val="00E97F03"/>
    <w:rsid w:val="00E97F6C"/>
    <w:rsid w:val="00EA043E"/>
    <w:rsid w:val="00EA23CB"/>
    <w:rsid w:val="00EA247B"/>
    <w:rsid w:val="00EA2B66"/>
    <w:rsid w:val="00EA31DD"/>
    <w:rsid w:val="00EA420C"/>
    <w:rsid w:val="00EA4B10"/>
    <w:rsid w:val="00EA79BC"/>
    <w:rsid w:val="00EB332D"/>
    <w:rsid w:val="00EB442B"/>
    <w:rsid w:val="00EB5C88"/>
    <w:rsid w:val="00EB6833"/>
    <w:rsid w:val="00EB7621"/>
    <w:rsid w:val="00EC00EE"/>
    <w:rsid w:val="00EC0A46"/>
    <w:rsid w:val="00EC0D1D"/>
    <w:rsid w:val="00EC128A"/>
    <w:rsid w:val="00EC4273"/>
    <w:rsid w:val="00EC4432"/>
    <w:rsid w:val="00EC4D46"/>
    <w:rsid w:val="00EC5150"/>
    <w:rsid w:val="00EC5B78"/>
    <w:rsid w:val="00ED2106"/>
    <w:rsid w:val="00ED27EB"/>
    <w:rsid w:val="00ED2816"/>
    <w:rsid w:val="00ED55C4"/>
    <w:rsid w:val="00EE056A"/>
    <w:rsid w:val="00EE2A0A"/>
    <w:rsid w:val="00EE34F1"/>
    <w:rsid w:val="00EE3D99"/>
    <w:rsid w:val="00EE4919"/>
    <w:rsid w:val="00EE4AA4"/>
    <w:rsid w:val="00EE5C1B"/>
    <w:rsid w:val="00EE6122"/>
    <w:rsid w:val="00EE79C4"/>
    <w:rsid w:val="00EF1B36"/>
    <w:rsid w:val="00EF2208"/>
    <w:rsid w:val="00EF52D5"/>
    <w:rsid w:val="00EF583E"/>
    <w:rsid w:val="00EF5859"/>
    <w:rsid w:val="00EF59CF"/>
    <w:rsid w:val="00EF5FED"/>
    <w:rsid w:val="00EF61B8"/>
    <w:rsid w:val="00EF6DB7"/>
    <w:rsid w:val="00EF7BDD"/>
    <w:rsid w:val="00F01370"/>
    <w:rsid w:val="00F01465"/>
    <w:rsid w:val="00F016CD"/>
    <w:rsid w:val="00F02C19"/>
    <w:rsid w:val="00F032BB"/>
    <w:rsid w:val="00F057B5"/>
    <w:rsid w:val="00F058BC"/>
    <w:rsid w:val="00F07449"/>
    <w:rsid w:val="00F10E40"/>
    <w:rsid w:val="00F1185F"/>
    <w:rsid w:val="00F11EEC"/>
    <w:rsid w:val="00F12F49"/>
    <w:rsid w:val="00F133BD"/>
    <w:rsid w:val="00F13847"/>
    <w:rsid w:val="00F15971"/>
    <w:rsid w:val="00F20658"/>
    <w:rsid w:val="00F21733"/>
    <w:rsid w:val="00F22CB8"/>
    <w:rsid w:val="00F232B9"/>
    <w:rsid w:val="00F24A8B"/>
    <w:rsid w:val="00F2537B"/>
    <w:rsid w:val="00F268EE"/>
    <w:rsid w:val="00F2693B"/>
    <w:rsid w:val="00F30E62"/>
    <w:rsid w:val="00F311D1"/>
    <w:rsid w:val="00F314F1"/>
    <w:rsid w:val="00F32782"/>
    <w:rsid w:val="00F338B2"/>
    <w:rsid w:val="00F33CC2"/>
    <w:rsid w:val="00F37F1D"/>
    <w:rsid w:val="00F409EC"/>
    <w:rsid w:val="00F42C7C"/>
    <w:rsid w:val="00F435E4"/>
    <w:rsid w:val="00F4544C"/>
    <w:rsid w:val="00F4652B"/>
    <w:rsid w:val="00F50658"/>
    <w:rsid w:val="00F50810"/>
    <w:rsid w:val="00F508A5"/>
    <w:rsid w:val="00F5141D"/>
    <w:rsid w:val="00F529C8"/>
    <w:rsid w:val="00F53644"/>
    <w:rsid w:val="00F53797"/>
    <w:rsid w:val="00F554C0"/>
    <w:rsid w:val="00F55CDF"/>
    <w:rsid w:val="00F5663F"/>
    <w:rsid w:val="00F56A44"/>
    <w:rsid w:val="00F56CCE"/>
    <w:rsid w:val="00F62010"/>
    <w:rsid w:val="00F64824"/>
    <w:rsid w:val="00F650D8"/>
    <w:rsid w:val="00F65B84"/>
    <w:rsid w:val="00F72B18"/>
    <w:rsid w:val="00F72BEA"/>
    <w:rsid w:val="00F730D9"/>
    <w:rsid w:val="00F731D1"/>
    <w:rsid w:val="00F76F33"/>
    <w:rsid w:val="00F7774D"/>
    <w:rsid w:val="00F7774F"/>
    <w:rsid w:val="00F77804"/>
    <w:rsid w:val="00F80DAC"/>
    <w:rsid w:val="00F81A4F"/>
    <w:rsid w:val="00F8287E"/>
    <w:rsid w:val="00F830C3"/>
    <w:rsid w:val="00F834CC"/>
    <w:rsid w:val="00F86C76"/>
    <w:rsid w:val="00F90750"/>
    <w:rsid w:val="00F909E7"/>
    <w:rsid w:val="00F90C45"/>
    <w:rsid w:val="00F9182A"/>
    <w:rsid w:val="00F9315D"/>
    <w:rsid w:val="00F95C61"/>
    <w:rsid w:val="00F960BE"/>
    <w:rsid w:val="00F96BA8"/>
    <w:rsid w:val="00F97300"/>
    <w:rsid w:val="00F97D8F"/>
    <w:rsid w:val="00FA25E0"/>
    <w:rsid w:val="00FA35D7"/>
    <w:rsid w:val="00FA5320"/>
    <w:rsid w:val="00FA579C"/>
    <w:rsid w:val="00FA593A"/>
    <w:rsid w:val="00FA5CA3"/>
    <w:rsid w:val="00FA6FD3"/>
    <w:rsid w:val="00FA75F0"/>
    <w:rsid w:val="00FB1BFA"/>
    <w:rsid w:val="00FB2978"/>
    <w:rsid w:val="00FB2C7C"/>
    <w:rsid w:val="00FB35C8"/>
    <w:rsid w:val="00FB43A1"/>
    <w:rsid w:val="00FB4755"/>
    <w:rsid w:val="00FB51DB"/>
    <w:rsid w:val="00FB6534"/>
    <w:rsid w:val="00FB696D"/>
    <w:rsid w:val="00FC5204"/>
    <w:rsid w:val="00FC5BD6"/>
    <w:rsid w:val="00FC5D83"/>
    <w:rsid w:val="00FC661E"/>
    <w:rsid w:val="00FC6790"/>
    <w:rsid w:val="00FC6C0F"/>
    <w:rsid w:val="00FD34F6"/>
    <w:rsid w:val="00FD4349"/>
    <w:rsid w:val="00FD4692"/>
    <w:rsid w:val="00FD72DC"/>
    <w:rsid w:val="00FE1D54"/>
    <w:rsid w:val="00FE2799"/>
    <w:rsid w:val="00FE2D0C"/>
    <w:rsid w:val="00FE2DD2"/>
    <w:rsid w:val="00FE31CC"/>
    <w:rsid w:val="00FE6C05"/>
    <w:rsid w:val="00FE715D"/>
    <w:rsid w:val="00FF19A6"/>
    <w:rsid w:val="00FF224A"/>
    <w:rsid w:val="00FF27A8"/>
    <w:rsid w:val="00FF308F"/>
    <w:rsid w:val="00FF4808"/>
    <w:rsid w:val="00FF4AE9"/>
    <w:rsid w:val="00FF4E7B"/>
    <w:rsid w:val="00FF6BD3"/>
    <w:rsid w:val="00FF6F0A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0B0560"/>
  <w15:chartTrackingRefBased/>
  <w15:docId w15:val="{C5014664-E74B-452C-B4A3-3D232C9EA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58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2B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aliases w:val="Raport roczny Znak,Przypisy Znak,No Spacing Znak"/>
    <w:link w:val="Bezodstpw"/>
    <w:locked/>
    <w:rsid w:val="001A7362"/>
    <w:rPr>
      <w:rFonts w:ascii="Verdana" w:hAnsi="Verdana" w:cs="Times New Roman"/>
      <w:color w:val="404044"/>
      <w:sz w:val="16"/>
      <w:szCs w:val="20"/>
    </w:rPr>
  </w:style>
  <w:style w:type="paragraph" w:styleId="Bezodstpw">
    <w:name w:val="No Spacing"/>
    <w:aliases w:val="Raport roczny,Przypisy,No Spacing"/>
    <w:basedOn w:val="Normalny"/>
    <w:link w:val="BezodstpwZnak"/>
    <w:qFormat/>
    <w:rsid w:val="001A7362"/>
    <w:pPr>
      <w:spacing w:line="288" w:lineRule="auto"/>
      <w:jc w:val="both"/>
    </w:pPr>
    <w:rPr>
      <w:rFonts w:ascii="Verdana" w:hAnsi="Verdana" w:cs="Times New Roman"/>
      <w:color w:val="404044"/>
      <w:sz w:val="16"/>
      <w:szCs w:val="20"/>
    </w:rPr>
  </w:style>
  <w:style w:type="paragraph" w:customStyle="1" w:styleId="Default">
    <w:name w:val="Default"/>
    <w:rsid w:val="00EE491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4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6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68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8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8EE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C4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82B97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082B9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8459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A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A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A59"/>
    <w:rPr>
      <w:vertAlign w:val="superscript"/>
    </w:rPr>
  </w:style>
  <w:style w:type="paragraph" w:styleId="Poprawka">
    <w:name w:val="Revision"/>
    <w:hidden/>
    <w:uiPriority w:val="99"/>
    <w:semiHidden/>
    <w:rsid w:val="00EF583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A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1D6"/>
  </w:style>
  <w:style w:type="paragraph" w:styleId="Stopka">
    <w:name w:val="footer"/>
    <w:basedOn w:val="Normalny"/>
    <w:link w:val="StopkaZnak"/>
    <w:unhideWhenUsed/>
    <w:rsid w:val="004A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A21D6"/>
  </w:style>
  <w:style w:type="character" w:styleId="Hipercze">
    <w:name w:val="Hyperlink"/>
    <w:basedOn w:val="Domylnaczcionkaakapitu"/>
    <w:uiPriority w:val="99"/>
    <w:rsid w:val="004A21D6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lp1,List Paragraph2,EPL lista punktowana z wyrózneniem,A_wyliczenie,K-P_odwolanie"/>
    <w:basedOn w:val="Normalny"/>
    <w:link w:val="AkapitzlistZnak"/>
    <w:uiPriority w:val="34"/>
    <w:qFormat/>
    <w:rsid w:val="004A21D6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lp1 Znak,List Paragraph2 Znak"/>
    <w:basedOn w:val="Domylnaczcionkaakapitu"/>
    <w:link w:val="Akapitzlist"/>
    <w:uiPriority w:val="34"/>
    <w:qFormat/>
    <w:rsid w:val="00495849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58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95849"/>
    <w:pPr>
      <w:outlineLvl w:val="9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0B8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6A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6A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6A4F"/>
    <w:rPr>
      <w:vertAlign w:val="superscript"/>
    </w:rPr>
  </w:style>
  <w:style w:type="table" w:styleId="Tabela-Siatka">
    <w:name w:val="Table Grid"/>
    <w:basedOn w:val="Standardowy"/>
    <w:uiPriority w:val="39"/>
    <w:rsid w:val="00AF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lative">
    <w:name w:val="relative"/>
    <w:basedOn w:val="Domylnaczcionkaakapitu"/>
    <w:rsid w:val="00C07496"/>
  </w:style>
  <w:style w:type="character" w:styleId="UyteHipercze">
    <w:name w:val="FollowedHyperlink"/>
    <w:basedOn w:val="Domylnaczcionkaakapitu"/>
    <w:uiPriority w:val="99"/>
    <w:semiHidden/>
    <w:unhideWhenUsed/>
    <w:rsid w:val="00BA0044"/>
    <w:rPr>
      <w:color w:val="954F72" w:themeColor="followedHyperlink"/>
      <w:u w:val="single"/>
    </w:rPr>
  </w:style>
  <w:style w:type="character" w:customStyle="1" w:styleId="highlight">
    <w:name w:val="highlight"/>
    <w:basedOn w:val="Domylnaczcionkaakapitu"/>
    <w:rsid w:val="00081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92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166693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78937816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808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775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507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5982148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357294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22127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85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0244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7435">
          <w:marLeft w:val="374"/>
          <w:marRight w:val="0"/>
          <w:marTop w:val="1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6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614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416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144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48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394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54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738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27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220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41290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43774022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026661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967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82499">
              <w:marLeft w:val="600"/>
              <w:marRight w:val="60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6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1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0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98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5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49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4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9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05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89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4740">
          <w:marLeft w:val="374"/>
          <w:marRight w:val="0"/>
          <w:marTop w:val="1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7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605384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446200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70742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3708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078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243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6834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9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8005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21268">
          <w:marLeft w:val="274"/>
          <w:marRight w:val="0"/>
          <w:marTop w:val="1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mailto:robert.stankiewicz@gpw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pw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mailto:press@gp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263484a-4811-448b-b935-4ccfcdbbdeea" origin="userSelected">
  <element uid="697367d0-0d11-4d4e-80a2-256155fcabe6" value=""/>
  <element uid="d9569de3-fae5-4e2d-a5c1-e0a5a3c84173" value=""/>
</sisl>
</file>

<file path=customXml/itemProps1.xml><?xml version="1.0" encoding="utf-8"?>
<ds:datastoreItem xmlns:ds="http://schemas.openxmlformats.org/officeDocument/2006/customXml" ds:itemID="{5ECD2DA9-3DB3-450F-BED7-7F926F8C0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9601-4011-4ED1-8396-BBE06CBF8A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1589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Paulina</dc:creator>
  <cp:keywords>#Kategoria: [Wewnętrzne/Nie zawiera danych osobowych]# </cp:keywords>
  <dc:description/>
  <cp:lastModifiedBy>Stankiewicz Robert</cp:lastModifiedBy>
  <cp:revision>2</cp:revision>
  <cp:lastPrinted>2025-06-25T12:59:00Z</cp:lastPrinted>
  <dcterms:created xsi:type="dcterms:W3CDTF">2025-08-20T14:31:00Z</dcterms:created>
  <dcterms:modified xsi:type="dcterms:W3CDTF">2025-08-20T14:31:00Z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0b80f84d-6efe-470f-bc6d-426ff22272a3</vt:lpwstr>
  </property>
  <property fmtid="{D5CDD505-2E9C-101B-9397-08002B2CF9AE}" pid="3" name="bjSaver">
    <vt:lpwstr>EP3QaiaTrDrOJqg3Tz6pBwL+Dt8eJ+oK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policy="9263484a-4811-448b-b935-4ccfcdbbdeea" origin="userSelected" xmlns="http://www.boldonj</vt:lpwstr>
  </property>
  <property fmtid="{D5CDD505-2E9C-101B-9397-08002B2CF9AE}" pid="5" name="bjDocumentLabelXML-0">
    <vt:lpwstr>ames.com/2008/01/sie/internal/label"&gt;&lt;element uid="697367d0-0d11-4d4e-80a2-256155fcabe6" value="" /&gt;&lt;element uid="d9569de3-fae5-4e2d-a5c1-e0a5a3c84173" value="" /&gt;&lt;/sisl&gt;</vt:lpwstr>
  </property>
  <property fmtid="{D5CDD505-2E9C-101B-9397-08002B2CF9AE}" pid="6" name="bjDocumentSecurityLabel">
    <vt:lpwstr>Kategoria: Wewnętrzne/Nie zawiera danych osobowych</vt:lpwstr>
  </property>
</Properties>
</file>